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A0FBF" w14:textId="5CF08022" w:rsidR="00A77DDA" w:rsidRPr="00202D34" w:rsidRDefault="00A77DDA" w:rsidP="00B85466">
      <w:pPr>
        <w:tabs>
          <w:tab w:val="left" w:pos="1152"/>
        </w:tabs>
        <w:spacing w:before="120" w:line="324" w:lineRule="auto"/>
        <w:jc w:val="left"/>
        <w:rPr>
          <w:rFonts w:cs="Arial"/>
        </w:rPr>
      </w:pPr>
      <w:r w:rsidRPr="00202D34">
        <w:rPr>
          <w:rFonts w:cs="Arial"/>
        </w:rPr>
        <w:tab/>
        <w:t>Regional Engineers</w:t>
      </w:r>
    </w:p>
    <w:p w14:paraId="500AE52F" w14:textId="77777777" w:rsidR="00A77DDA" w:rsidRPr="00202D34" w:rsidRDefault="00A77DDA" w:rsidP="00B85466">
      <w:pPr>
        <w:tabs>
          <w:tab w:val="left" w:pos="1152"/>
        </w:tabs>
        <w:spacing w:before="120" w:line="324" w:lineRule="auto"/>
        <w:jc w:val="left"/>
        <w:rPr>
          <w:rFonts w:cs="Arial"/>
        </w:rPr>
      </w:pPr>
      <w:r w:rsidRPr="00202D34">
        <w:rPr>
          <w:rFonts w:cs="Arial"/>
        </w:rPr>
        <w:tab/>
        <w:t xml:space="preserve">Jack </w:t>
      </w:r>
      <w:r w:rsidR="003C0061">
        <w:rPr>
          <w:rFonts w:cs="Arial"/>
        </w:rPr>
        <w:t xml:space="preserve">A. </w:t>
      </w:r>
      <w:r w:rsidRPr="00202D34">
        <w:rPr>
          <w:rFonts w:cs="Arial"/>
        </w:rPr>
        <w:t>Elston</w:t>
      </w:r>
      <w:bookmarkStart w:id="0" w:name="_GoBack"/>
      <w:bookmarkEnd w:id="0"/>
    </w:p>
    <w:p w14:paraId="4D07165D" w14:textId="17721011" w:rsidR="00A77DDA" w:rsidRPr="00202D34" w:rsidRDefault="00A77DDA" w:rsidP="00B85466">
      <w:pPr>
        <w:tabs>
          <w:tab w:val="left" w:pos="1152"/>
        </w:tabs>
        <w:spacing w:before="120" w:line="324" w:lineRule="auto"/>
        <w:ind w:left="1166" w:hanging="1166"/>
        <w:jc w:val="left"/>
        <w:rPr>
          <w:rFonts w:cs="Arial"/>
        </w:rPr>
      </w:pPr>
      <w:r w:rsidRPr="00202D34">
        <w:rPr>
          <w:rFonts w:cs="Arial"/>
        </w:rPr>
        <w:tab/>
        <w:t xml:space="preserve">Special Provision for </w:t>
      </w:r>
      <w:r w:rsidR="006C44EF">
        <w:rPr>
          <w:rFonts w:cs="Arial"/>
        </w:rPr>
        <w:t>Emulsified Asphalts</w:t>
      </w:r>
    </w:p>
    <w:p w14:paraId="23F1C2E8" w14:textId="77777777" w:rsidR="00A77DDA" w:rsidRPr="00202D34" w:rsidRDefault="00A77DDA" w:rsidP="00B85466">
      <w:pPr>
        <w:tabs>
          <w:tab w:val="left" w:pos="1152"/>
        </w:tabs>
        <w:spacing w:before="120" w:line="324" w:lineRule="auto"/>
        <w:jc w:val="left"/>
        <w:rPr>
          <w:rFonts w:cs="Arial"/>
        </w:rPr>
      </w:pPr>
      <w:r w:rsidRPr="00202D34">
        <w:rPr>
          <w:rFonts w:cs="Arial"/>
        </w:rPr>
        <w:tab/>
      </w:r>
      <w:r w:rsidR="007E4ADC">
        <w:rPr>
          <w:rFonts w:cs="Arial"/>
        </w:rPr>
        <w:t xml:space="preserve">April </w:t>
      </w:r>
      <w:r w:rsidR="003C0061">
        <w:rPr>
          <w:rFonts w:cs="Arial"/>
        </w:rPr>
        <w:t>1</w:t>
      </w:r>
      <w:r w:rsidR="007E4ADC">
        <w:rPr>
          <w:rFonts w:cs="Arial"/>
        </w:rPr>
        <w:t>9</w:t>
      </w:r>
      <w:r w:rsidR="003C0061">
        <w:rPr>
          <w:rFonts w:cs="Arial"/>
        </w:rPr>
        <w:t>, 2019</w:t>
      </w:r>
    </w:p>
    <w:p w14:paraId="0CCEFEF3" w14:textId="77777777" w:rsidR="00A77DDA" w:rsidRPr="00202D34" w:rsidRDefault="00A77DDA" w:rsidP="00B85466">
      <w:pPr>
        <w:jc w:val="left"/>
        <w:rPr>
          <w:rFonts w:cs="Arial"/>
        </w:rPr>
      </w:pPr>
    </w:p>
    <w:p w14:paraId="7C175A62" w14:textId="77777777" w:rsidR="00A77DDA" w:rsidRPr="00202D34" w:rsidRDefault="00A77DDA" w:rsidP="00B85466">
      <w:pPr>
        <w:jc w:val="left"/>
        <w:rPr>
          <w:rFonts w:cs="Arial"/>
        </w:rPr>
      </w:pPr>
    </w:p>
    <w:p w14:paraId="26F364F4" w14:textId="77777777" w:rsidR="00A77DDA" w:rsidRPr="00202D34" w:rsidRDefault="00A77DDA" w:rsidP="00B85466">
      <w:pPr>
        <w:jc w:val="left"/>
        <w:rPr>
          <w:rFonts w:cs="Arial"/>
        </w:rPr>
      </w:pPr>
    </w:p>
    <w:p w14:paraId="6274A826" w14:textId="47CE2182" w:rsidR="00A77DDA" w:rsidRDefault="00A77DDA" w:rsidP="00B85466">
      <w:pPr>
        <w:jc w:val="left"/>
        <w:rPr>
          <w:rFonts w:cs="Arial"/>
        </w:rPr>
      </w:pPr>
      <w:r w:rsidRPr="00202D34">
        <w:rPr>
          <w:rFonts w:cs="Arial"/>
        </w:rPr>
        <w:t xml:space="preserve">This special provision was developed </w:t>
      </w:r>
      <w:r w:rsidR="006C44EF">
        <w:rPr>
          <w:rFonts w:cs="Arial"/>
        </w:rPr>
        <w:t xml:space="preserve">by the </w:t>
      </w:r>
      <w:r w:rsidR="001F397F">
        <w:rPr>
          <w:rFonts w:cs="Arial"/>
        </w:rPr>
        <w:t xml:space="preserve">Central </w:t>
      </w:r>
      <w:r w:rsidR="006C44EF">
        <w:rPr>
          <w:rFonts w:cs="Arial"/>
        </w:rPr>
        <w:t xml:space="preserve">Bureau of Materials </w:t>
      </w:r>
      <w:r w:rsidR="001F397F">
        <w:rPr>
          <w:rFonts w:cs="Arial"/>
        </w:rPr>
        <w:t xml:space="preserve">to update </w:t>
      </w:r>
      <w:r w:rsidR="008C0D20">
        <w:rPr>
          <w:rFonts w:cs="Arial"/>
        </w:rPr>
        <w:t>the Department’s specifications</w:t>
      </w:r>
      <w:r w:rsidR="001F397F">
        <w:rPr>
          <w:rFonts w:cs="Arial"/>
        </w:rPr>
        <w:t xml:space="preserve"> in accordance with </w:t>
      </w:r>
      <w:r w:rsidR="0029347E">
        <w:rPr>
          <w:rFonts w:cs="Arial"/>
        </w:rPr>
        <w:t xml:space="preserve">the </w:t>
      </w:r>
      <w:r w:rsidR="001F397F">
        <w:rPr>
          <w:rFonts w:cs="Arial"/>
        </w:rPr>
        <w:t xml:space="preserve">AASHTO Standard Specifications </w:t>
      </w:r>
      <w:r w:rsidRPr="00202D34">
        <w:rPr>
          <w:rFonts w:cs="Arial"/>
        </w:rPr>
        <w:t xml:space="preserve">for </w:t>
      </w:r>
      <w:r w:rsidR="006C44EF">
        <w:rPr>
          <w:rFonts w:cs="Arial"/>
        </w:rPr>
        <w:t>emulsified asphalts</w:t>
      </w:r>
      <w:r w:rsidR="001F397F">
        <w:rPr>
          <w:rFonts w:cs="Arial"/>
        </w:rPr>
        <w:t xml:space="preserve">, including </w:t>
      </w:r>
      <w:r w:rsidR="007C02FD">
        <w:rPr>
          <w:rFonts w:cs="Arial"/>
        </w:rPr>
        <w:t>polymer modified emulsions</w:t>
      </w:r>
      <w:r w:rsidR="006447BB">
        <w:rPr>
          <w:rFonts w:cs="Arial"/>
        </w:rPr>
        <w:t xml:space="preserve"> (M</w:t>
      </w:r>
      <w:r w:rsidR="00DE4699">
        <w:rPr>
          <w:rFonts w:cs="Arial"/>
        </w:rPr>
        <w:t> </w:t>
      </w:r>
      <w:r w:rsidR="006447BB">
        <w:rPr>
          <w:rFonts w:cs="Arial"/>
        </w:rPr>
        <w:t>316)</w:t>
      </w:r>
      <w:r w:rsidR="001F397F">
        <w:rPr>
          <w:rFonts w:cs="Arial"/>
        </w:rPr>
        <w:t xml:space="preserve">. </w:t>
      </w:r>
      <w:r w:rsidR="007C02FD">
        <w:rPr>
          <w:rFonts w:cs="Arial"/>
        </w:rPr>
        <w:t xml:space="preserve"> This </w:t>
      </w:r>
      <w:r w:rsidR="003542ED">
        <w:rPr>
          <w:rFonts w:cs="Arial"/>
        </w:rPr>
        <w:t>special provision</w:t>
      </w:r>
      <w:r w:rsidR="007C02FD">
        <w:rPr>
          <w:rFonts w:cs="Arial"/>
        </w:rPr>
        <w:t xml:space="preserve"> will change </w:t>
      </w:r>
      <w:r w:rsidR="001B2C23">
        <w:rPr>
          <w:rFonts w:cs="Arial"/>
        </w:rPr>
        <w:t xml:space="preserve">the </w:t>
      </w:r>
      <w:r w:rsidR="007C02FD">
        <w:rPr>
          <w:rFonts w:cs="Arial"/>
        </w:rPr>
        <w:t xml:space="preserve">nomenclature for </w:t>
      </w:r>
      <w:r w:rsidR="003542ED">
        <w:rPr>
          <w:rFonts w:cs="Arial"/>
        </w:rPr>
        <w:t xml:space="preserve">the </w:t>
      </w:r>
      <w:r w:rsidR="00C23A7A">
        <w:rPr>
          <w:rFonts w:cs="Arial"/>
        </w:rPr>
        <w:t xml:space="preserve">following </w:t>
      </w:r>
      <w:r w:rsidR="007C02FD">
        <w:rPr>
          <w:rFonts w:cs="Arial"/>
        </w:rPr>
        <w:t>emulsion types</w:t>
      </w:r>
      <w:r w:rsidR="004B6E6A">
        <w:rPr>
          <w:rFonts w:cs="Arial"/>
        </w:rPr>
        <w:t>.</w:t>
      </w:r>
    </w:p>
    <w:p w14:paraId="1C42DBD2" w14:textId="63BFF31F" w:rsidR="001F397F" w:rsidRDefault="001F397F" w:rsidP="00B85466">
      <w:pPr>
        <w:jc w:val="left"/>
        <w:rPr>
          <w:rFonts w:cs="Arial"/>
        </w:rPr>
      </w:pPr>
    </w:p>
    <w:tbl>
      <w:tblPr>
        <w:tblStyle w:val="TableGrid"/>
        <w:tblW w:w="0" w:type="auto"/>
        <w:jc w:val="center"/>
        <w:tblLook w:val="04A0" w:firstRow="1" w:lastRow="0" w:firstColumn="1" w:lastColumn="0" w:noHBand="0" w:noVBand="1"/>
      </w:tblPr>
      <w:tblGrid>
        <w:gridCol w:w="2000"/>
        <w:gridCol w:w="4295"/>
      </w:tblGrid>
      <w:tr w:rsidR="00280884" w14:paraId="674039C8" w14:textId="77777777" w:rsidTr="00F7009A">
        <w:trPr>
          <w:jc w:val="center"/>
        </w:trPr>
        <w:tc>
          <w:tcPr>
            <w:tcW w:w="2000" w:type="dxa"/>
          </w:tcPr>
          <w:p w14:paraId="02F2176D" w14:textId="77777777" w:rsidR="00280884" w:rsidRPr="003B0D2A" w:rsidRDefault="00280884" w:rsidP="000660C9">
            <w:pPr>
              <w:spacing w:before="120" w:after="120"/>
              <w:jc w:val="center"/>
              <w:rPr>
                <w:rFonts w:cs="Arial"/>
                <w:sz w:val="22"/>
                <w:szCs w:val="22"/>
              </w:rPr>
            </w:pPr>
          </w:p>
        </w:tc>
        <w:tc>
          <w:tcPr>
            <w:tcW w:w="4295" w:type="dxa"/>
          </w:tcPr>
          <w:p w14:paraId="7338DB41" w14:textId="1EABEC40" w:rsidR="00280884" w:rsidRPr="003B0D2A" w:rsidRDefault="00280884" w:rsidP="00280884">
            <w:pPr>
              <w:spacing w:before="120" w:after="120"/>
              <w:jc w:val="left"/>
              <w:rPr>
                <w:rFonts w:cs="Arial"/>
                <w:sz w:val="22"/>
                <w:szCs w:val="22"/>
              </w:rPr>
            </w:pPr>
            <w:r w:rsidRPr="003B0D2A">
              <w:rPr>
                <w:rFonts w:cs="Arial"/>
                <w:sz w:val="22"/>
                <w:szCs w:val="22"/>
              </w:rPr>
              <w:t xml:space="preserve">New Acronym </w:t>
            </w:r>
            <w:proofErr w:type="gramStart"/>
            <w:r w:rsidRPr="003B0D2A">
              <w:rPr>
                <w:rFonts w:cs="Arial"/>
                <w:sz w:val="22"/>
                <w:szCs w:val="22"/>
              </w:rPr>
              <w:t xml:space="preserve">   (</w:t>
            </w:r>
            <w:proofErr w:type="gramEnd"/>
            <w:r w:rsidRPr="003B0D2A">
              <w:rPr>
                <w:rFonts w:cs="Arial"/>
                <w:sz w:val="22"/>
                <w:szCs w:val="22"/>
              </w:rPr>
              <w:t>Former Acronym)</w:t>
            </w:r>
          </w:p>
        </w:tc>
      </w:tr>
      <w:tr w:rsidR="00280884" w14:paraId="5B43DA12" w14:textId="77777777" w:rsidTr="00F7009A">
        <w:trPr>
          <w:trHeight w:val="710"/>
          <w:jc w:val="center"/>
        </w:trPr>
        <w:tc>
          <w:tcPr>
            <w:tcW w:w="2000" w:type="dxa"/>
          </w:tcPr>
          <w:p w14:paraId="43B3B3E9" w14:textId="77777777" w:rsidR="00280884" w:rsidRPr="003B0D2A" w:rsidRDefault="00280884" w:rsidP="00280884">
            <w:pPr>
              <w:jc w:val="center"/>
              <w:rPr>
                <w:rFonts w:cs="Arial"/>
                <w:sz w:val="22"/>
                <w:szCs w:val="22"/>
              </w:rPr>
            </w:pPr>
          </w:p>
          <w:p w14:paraId="497FA8DB" w14:textId="74783C71" w:rsidR="00280884" w:rsidRPr="003B0D2A" w:rsidRDefault="00280884" w:rsidP="00280884">
            <w:pPr>
              <w:jc w:val="center"/>
              <w:rPr>
                <w:rFonts w:cs="Arial"/>
                <w:sz w:val="22"/>
                <w:szCs w:val="22"/>
              </w:rPr>
            </w:pPr>
            <w:r w:rsidRPr="003B0D2A">
              <w:rPr>
                <w:rFonts w:cs="Arial"/>
                <w:sz w:val="22"/>
                <w:szCs w:val="22"/>
              </w:rPr>
              <w:t>Polymer Modified</w:t>
            </w:r>
          </w:p>
        </w:tc>
        <w:tc>
          <w:tcPr>
            <w:tcW w:w="4295" w:type="dxa"/>
          </w:tcPr>
          <w:p w14:paraId="626C28BE" w14:textId="464FA93A" w:rsidR="00280884" w:rsidRPr="003B0D2A" w:rsidRDefault="00280884" w:rsidP="00280884">
            <w:pPr>
              <w:jc w:val="left"/>
              <w:rPr>
                <w:rFonts w:cs="Arial"/>
                <w:sz w:val="22"/>
                <w:szCs w:val="22"/>
              </w:rPr>
            </w:pPr>
            <w:r w:rsidRPr="003B0D2A">
              <w:rPr>
                <w:rFonts w:cs="Arial"/>
                <w:sz w:val="22"/>
                <w:szCs w:val="22"/>
              </w:rPr>
              <w:t xml:space="preserve">CRS-2P          </w:t>
            </w:r>
            <w:proofErr w:type="gramStart"/>
            <w:r w:rsidRPr="003B0D2A">
              <w:rPr>
                <w:rFonts w:cs="Arial"/>
                <w:sz w:val="22"/>
                <w:szCs w:val="22"/>
              </w:rPr>
              <w:t xml:space="preserve">   (</w:t>
            </w:r>
            <w:proofErr w:type="gramEnd"/>
            <w:r w:rsidRPr="003B0D2A">
              <w:rPr>
                <w:rFonts w:cs="Arial"/>
                <w:sz w:val="22"/>
                <w:szCs w:val="22"/>
              </w:rPr>
              <w:t>CRSP)</w:t>
            </w:r>
          </w:p>
          <w:p w14:paraId="36A074CF" w14:textId="539B5E69" w:rsidR="00280884" w:rsidRPr="003B0D2A" w:rsidRDefault="00280884" w:rsidP="00280884">
            <w:pPr>
              <w:jc w:val="left"/>
              <w:rPr>
                <w:rFonts w:cs="Arial"/>
                <w:sz w:val="22"/>
                <w:szCs w:val="22"/>
              </w:rPr>
            </w:pPr>
            <w:r w:rsidRPr="003B0D2A">
              <w:rPr>
                <w:rFonts w:cs="Arial"/>
                <w:sz w:val="22"/>
                <w:szCs w:val="22"/>
              </w:rPr>
              <w:t xml:space="preserve">HFRS-2P        </w:t>
            </w:r>
            <w:proofErr w:type="gramStart"/>
            <w:r w:rsidRPr="003B0D2A">
              <w:rPr>
                <w:rFonts w:cs="Arial"/>
                <w:sz w:val="22"/>
                <w:szCs w:val="22"/>
              </w:rPr>
              <w:t xml:space="preserve">   (</w:t>
            </w:r>
            <w:proofErr w:type="gramEnd"/>
            <w:r w:rsidRPr="003B0D2A">
              <w:rPr>
                <w:rFonts w:cs="Arial"/>
                <w:sz w:val="22"/>
                <w:szCs w:val="22"/>
              </w:rPr>
              <w:t>HFP)</w:t>
            </w:r>
          </w:p>
          <w:p w14:paraId="5B1BF99D" w14:textId="7E6F1772" w:rsidR="00280884" w:rsidRPr="003B0D2A" w:rsidRDefault="00280884" w:rsidP="00280884">
            <w:pPr>
              <w:jc w:val="left"/>
              <w:rPr>
                <w:rFonts w:cs="Arial"/>
                <w:sz w:val="22"/>
                <w:szCs w:val="22"/>
              </w:rPr>
            </w:pPr>
            <w:r w:rsidRPr="003B0D2A">
              <w:rPr>
                <w:rFonts w:cs="Arial"/>
                <w:sz w:val="22"/>
                <w:szCs w:val="22"/>
              </w:rPr>
              <w:t>CQS-1h</w:t>
            </w:r>
            <w:r w:rsidR="00F7009A">
              <w:rPr>
                <w:rFonts w:cs="Arial"/>
                <w:sz w:val="22"/>
                <w:szCs w:val="22"/>
              </w:rPr>
              <w:t>P</w:t>
            </w:r>
            <w:r w:rsidRPr="003B0D2A">
              <w:rPr>
                <w:rFonts w:cs="Arial"/>
                <w:sz w:val="22"/>
                <w:szCs w:val="22"/>
              </w:rPr>
              <w:t xml:space="preserve">        </w:t>
            </w:r>
            <w:proofErr w:type="gramStart"/>
            <w:r w:rsidRPr="003B0D2A">
              <w:rPr>
                <w:rFonts w:cs="Arial"/>
                <w:sz w:val="22"/>
                <w:szCs w:val="22"/>
              </w:rPr>
              <w:t xml:space="preserve">   (</w:t>
            </w:r>
            <w:proofErr w:type="gramEnd"/>
            <w:r w:rsidRPr="003B0D2A">
              <w:rPr>
                <w:rFonts w:cs="Arial"/>
                <w:sz w:val="22"/>
                <w:szCs w:val="22"/>
              </w:rPr>
              <w:t xml:space="preserve">CSS-1h Latex Modified) </w:t>
            </w:r>
          </w:p>
        </w:tc>
      </w:tr>
      <w:tr w:rsidR="00280884" w14:paraId="55EF7DAD" w14:textId="77777777" w:rsidTr="00F7009A">
        <w:trPr>
          <w:jc w:val="center"/>
        </w:trPr>
        <w:tc>
          <w:tcPr>
            <w:tcW w:w="2000" w:type="dxa"/>
          </w:tcPr>
          <w:p w14:paraId="08C2D42B" w14:textId="764A53F6" w:rsidR="00280884" w:rsidRPr="003B0D2A" w:rsidRDefault="00280884" w:rsidP="00D770AA">
            <w:pPr>
              <w:jc w:val="center"/>
              <w:rPr>
                <w:rFonts w:cs="Arial"/>
                <w:sz w:val="22"/>
                <w:szCs w:val="22"/>
              </w:rPr>
            </w:pPr>
            <w:r w:rsidRPr="003B0D2A">
              <w:rPr>
                <w:rFonts w:cs="Arial"/>
                <w:sz w:val="22"/>
                <w:szCs w:val="22"/>
              </w:rPr>
              <w:t>Non-Tracking</w:t>
            </w:r>
          </w:p>
        </w:tc>
        <w:tc>
          <w:tcPr>
            <w:tcW w:w="4295" w:type="dxa"/>
          </w:tcPr>
          <w:p w14:paraId="5F5B8AFA" w14:textId="7474C62D" w:rsidR="00280884" w:rsidRPr="003B0D2A" w:rsidRDefault="00280884" w:rsidP="00280884">
            <w:pPr>
              <w:jc w:val="left"/>
              <w:rPr>
                <w:rFonts w:cs="Arial"/>
                <w:sz w:val="22"/>
                <w:szCs w:val="22"/>
              </w:rPr>
            </w:pPr>
            <w:r w:rsidRPr="003B0D2A">
              <w:rPr>
                <w:rFonts w:cs="Arial"/>
                <w:sz w:val="22"/>
                <w:szCs w:val="22"/>
              </w:rPr>
              <w:t xml:space="preserve">NTEA              </w:t>
            </w:r>
            <w:proofErr w:type="gramStart"/>
            <w:r w:rsidRPr="003B0D2A">
              <w:rPr>
                <w:rFonts w:cs="Arial"/>
                <w:sz w:val="22"/>
                <w:szCs w:val="22"/>
              </w:rPr>
              <w:t xml:space="preserve">   (</w:t>
            </w:r>
            <w:proofErr w:type="gramEnd"/>
            <w:r w:rsidRPr="003B0D2A">
              <w:rPr>
                <w:rFonts w:cs="Arial"/>
                <w:sz w:val="22"/>
                <w:szCs w:val="22"/>
              </w:rPr>
              <w:t>SS-1vh)</w:t>
            </w:r>
          </w:p>
        </w:tc>
      </w:tr>
    </w:tbl>
    <w:p w14:paraId="3063ACE5" w14:textId="77777777" w:rsidR="00A77DDA" w:rsidRPr="00202D34" w:rsidRDefault="00A77DDA" w:rsidP="00B85466">
      <w:pPr>
        <w:jc w:val="left"/>
        <w:rPr>
          <w:rFonts w:cs="Arial"/>
        </w:rPr>
      </w:pPr>
    </w:p>
    <w:p w14:paraId="7AECA707" w14:textId="575FB1DD" w:rsidR="00A77DDA" w:rsidRDefault="00A77DDA" w:rsidP="00B85466">
      <w:pPr>
        <w:jc w:val="left"/>
        <w:rPr>
          <w:rFonts w:cs="Arial"/>
        </w:rPr>
      </w:pPr>
      <w:r w:rsidRPr="00202D34">
        <w:rPr>
          <w:rFonts w:cs="Arial"/>
        </w:rPr>
        <w:t>This special pro</w:t>
      </w:r>
      <w:r w:rsidR="00B85466">
        <w:rPr>
          <w:rFonts w:cs="Arial"/>
        </w:rPr>
        <w:t xml:space="preserve">vision should be inserted into </w:t>
      </w:r>
      <w:r w:rsidRPr="00202D34">
        <w:rPr>
          <w:rFonts w:cs="Arial"/>
        </w:rPr>
        <w:t xml:space="preserve">contracts </w:t>
      </w:r>
      <w:r w:rsidR="00DE4699">
        <w:rPr>
          <w:rFonts w:cs="Arial"/>
        </w:rPr>
        <w:t>involving emulsified asphalts which are generally used</w:t>
      </w:r>
      <w:r w:rsidR="00FD521C">
        <w:rPr>
          <w:rFonts w:cs="Arial"/>
        </w:rPr>
        <w:t xml:space="preserve"> </w:t>
      </w:r>
      <w:r w:rsidR="00DE4699">
        <w:rPr>
          <w:rFonts w:cs="Arial"/>
        </w:rPr>
        <w:t>in the following types of work.</w:t>
      </w:r>
    </w:p>
    <w:p w14:paraId="3BA42C95" w14:textId="244F1B49" w:rsidR="00DE4699" w:rsidRDefault="00DE4699" w:rsidP="00B85466">
      <w:pPr>
        <w:jc w:val="left"/>
        <w:rPr>
          <w:rFonts w:cs="Arial"/>
        </w:rPr>
      </w:pPr>
    </w:p>
    <w:p w14:paraId="09D67A1E" w14:textId="712FEC54" w:rsidR="00DE4699" w:rsidRDefault="00DE4699" w:rsidP="00B85466">
      <w:pPr>
        <w:jc w:val="left"/>
        <w:rPr>
          <w:rFonts w:cs="Arial"/>
        </w:rPr>
      </w:pPr>
      <w:r>
        <w:rPr>
          <w:rFonts w:cs="Arial"/>
        </w:rPr>
        <w:t>Section 302</w:t>
      </w:r>
      <w:r>
        <w:rPr>
          <w:rFonts w:cs="Arial"/>
        </w:rPr>
        <w:tab/>
        <w:t>Soil Modification</w:t>
      </w:r>
    </w:p>
    <w:p w14:paraId="568A3BB7" w14:textId="27E764E9" w:rsidR="00DE4699" w:rsidRDefault="00DE4699" w:rsidP="00B85466">
      <w:pPr>
        <w:jc w:val="left"/>
        <w:rPr>
          <w:rFonts w:cs="Arial"/>
        </w:rPr>
      </w:pPr>
      <w:r>
        <w:rPr>
          <w:rFonts w:cs="Arial"/>
        </w:rPr>
        <w:t>Section 310</w:t>
      </w:r>
      <w:r>
        <w:rPr>
          <w:rFonts w:cs="Arial"/>
        </w:rPr>
        <w:tab/>
        <w:t>Lime Stabilized Soil Mixture</w:t>
      </w:r>
    </w:p>
    <w:p w14:paraId="731713E9" w14:textId="6DB0C530" w:rsidR="00DE4699" w:rsidRDefault="00DE4699" w:rsidP="00B85466">
      <w:pPr>
        <w:jc w:val="left"/>
        <w:rPr>
          <w:rFonts w:cs="Arial"/>
        </w:rPr>
      </w:pPr>
      <w:r>
        <w:rPr>
          <w:rFonts w:cs="Arial"/>
        </w:rPr>
        <w:t>Section 312</w:t>
      </w:r>
      <w:r>
        <w:rPr>
          <w:rFonts w:cs="Arial"/>
        </w:rPr>
        <w:tab/>
        <w:t>Stabilized Subbase (CAM II)</w:t>
      </w:r>
    </w:p>
    <w:p w14:paraId="3189B00F" w14:textId="0A557325" w:rsidR="00DE4699" w:rsidRDefault="00DE4699" w:rsidP="00B85466">
      <w:pPr>
        <w:jc w:val="left"/>
        <w:rPr>
          <w:rFonts w:cs="Arial"/>
        </w:rPr>
      </w:pPr>
      <w:r>
        <w:rPr>
          <w:rFonts w:cs="Arial"/>
        </w:rPr>
        <w:t>Section 352</w:t>
      </w:r>
      <w:r>
        <w:rPr>
          <w:rFonts w:cs="Arial"/>
        </w:rPr>
        <w:tab/>
        <w:t>Soil Cement Base Course</w:t>
      </w:r>
    </w:p>
    <w:p w14:paraId="0B2EFC68" w14:textId="45A557A5" w:rsidR="00DE4699" w:rsidRDefault="00DE4699" w:rsidP="00B85466">
      <w:pPr>
        <w:jc w:val="left"/>
        <w:rPr>
          <w:rFonts w:cs="Arial"/>
        </w:rPr>
      </w:pPr>
      <w:r>
        <w:rPr>
          <w:rFonts w:cs="Arial"/>
        </w:rPr>
        <w:t>Section 403</w:t>
      </w:r>
      <w:r>
        <w:rPr>
          <w:rFonts w:cs="Arial"/>
        </w:rPr>
        <w:tab/>
        <w:t>Bituminous Surface Treatment (Class A-1, A-2, A-3)</w:t>
      </w:r>
    </w:p>
    <w:p w14:paraId="73202C15" w14:textId="673EF69C" w:rsidR="00DE4699" w:rsidRDefault="00DE4699" w:rsidP="00B85466">
      <w:pPr>
        <w:jc w:val="left"/>
        <w:rPr>
          <w:rFonts w:cs="Arial"/>
        </w:rPr>
      </w:pPr>
      <w:r>
        <w:rPr>
          <w:rFonts w:cs="Arial"/>
        </w:rPr>
        <w:t>Section 404</w:t>
      </w:r>
      <w:r>
        <w:rPr>
          <w:rFonts w:cs="Arial"/>
        </w:rPr>
        <w:tab/>
        <w:t>Micro-Surfacing and Slurry Sealing</w:t>
      </w:r>
    </w:p>
    <w:p w14:paraId="7587BEF2" w14:textId="33B7EB2E" w:rsidR="00DE4699" w:rsidRDefault="00DE4699" w:rsidP="00B85466">
      <w:pPr>
        <w:jc w:val="left"/>
        <w:rPr>
          <w:rFonts w:cs="Arial"/>
        </w:rPr>
      </w:pPr>
      <w:r>
        <w:rPr>
          <w:rFonts w:cs="Arial"/>
        </w:rPr>
        <w:t>Section 405</w:t>
      </w:r>
      <w:r>
        <w:rPr>
          <w:rFonts w:cs="Arial"/>
        </w:rPr>
        <w:tab/>
        <w:t>Cape Seal</w:t>
      </w:r>
    </w:p>
    <w:p w14:paraId="31C60846" w14:textId="0132229B" w:rsidR="00DE4699" w:rsidRDefault="00DE4699" w:rsidP="00B85466">
      <w:pPr>
        <w:jc w:val="left"/>
        <w:rPr>
          <w:rFonts w:cs="Arial"/>
        </w:rPr>
      </w:pPr>
      <w:r>
        <w:rPr>
          <w:rFonts w:cs="Arial"/>
        </w:rPr>
        <w:t>Section 406</w:t>
      </w:r>
      <w:r>
        <w:rPr>
          <w:rFonts w:cs="Arial"/>
        </w:rPr>
        <w:tab/>
        <w:t>HMA Binder and Surface Course</w:t>
      </w:r>
    </w:p>
    <w:p w14:paraId="7B6640E3" w14:textId="2D18F700" w:rsidR="00DE4699" w:rsidRDefault="00DE4699" w:rsidP="00B85466">
      <w:pPr>
        <w:jc w:val="left"/>
        <w:rPr>
          <w:rFonts w:cs="Arial"/>
        </w:rPr>
      </w:pPr>
      <w:r>
        <w:rPr>
          <w:rFonts w:cs="Arial"/>
        </w:rPr>
        <w:t>Section 407</w:t>
      </w:r>
      <w:r>
        <w:rPr>
          <w:rFonts w:cs="Arial"/>
        </w:rPr>
        <w:tab/>
        <w:t>HMA Pavement (Full-Depth)</w:t>
      </w:r>
    </w:p>
    <w:p w14:paraId="325F0D1C" w14:textId="141F57EA" w:rsidR="00DE4699" w:rsidRDefault="00DE4699" w:rsidP="00B85466">
      <w:pPr>
        <w:jc w:val="left"/>
        <w:rPr>
          <w:rFonts w:cs="Arial"/>
        </w:rPr>
      </w:pPr>
      <w:r>
        <w:rPr>
          <w:rFonts w:cs="Arial"/>
        </w:rPr>
        <w:t>Section 408</w:t>
      </w:r>
      <w:r>
        <w:rPr>
          <w:rFonts w:cs="Arial"/>
        </w:rPr>
        <w:tab/>
        <w:t>Incidental HMA Surfacing</w:t>
      </w:r>
    </w:p>
    <w:p w14:paraId="03B853E4" w14:textId="77777777" w:rsidR="0055025B" w:rsidRDefault="00DE4699" w:rsidP="00B85466">
      <w:pPr>
        <w:jc w:val="left"/>
        <w:rPr>
          <w:rFonts w:cs="Arial"/>
        </w:rPr>
      </w:pPr>
      <w:r>
        <w:rPr>
          <w:rFonts w:cs="Arial"/>
        </w:rPr>
        <w:t>Section 443</w:t>
      </w:r>
      <w:r>
        <w:rPr>
          <w:rFonts w:cs="Arial"/>
        </w:rPr>
        <w:tab/>
        <w:t>Reflective Crack Control Treatment</w:t>
      </w:r>
    </w:p>
    <w:p w14:paraId="109CAE7D" w14:textId="36DE282F" w:rsidR="006F0167" w:rsidRDefault="006F0167" w:rsidP="00B85466">
      <w:pPr>
        <w:jc w:val="left"/>
        <w:rPr>
          <w:rFonts w:cs="Arial"/>
        </w:rPr>
      </w:pPr>
      <w:r>
        <w:rPr>
          <w:rFonts w:cs="Arial"/>
        </w:rPr>
        <w:t>Section 582</w:t>
      </w:r>
      <w:r>
        <w:rPr>
          <w:rFonts w:cs="Arial"/>
        </w:rPr>
        <w:tab/>
      </w:r>
      <w:r w:rsidR="00B9563D">
        <w:rPr>
          <w:rFonts w:cs="Arial"/>
        </w:rPr>
        <w:t>HMA Surfacing on Bridge Decks</w:t>
      </w:r>
    </w:p>
    <w:p w14:paraId="4A7B8364" w14:textId="4D6B2618" w:rsidR="00DE4699" w:rsidRDefault="00DE4699" w:rsidP="00B85466">
      <w:pPr>
        <w:jc w:val="left"/>
        <w:rPr>
          <w:rFonts w:cs="Arial"/>
        </w:rPr>
      </w:pPr>
      <w:r>
        <w:rPr>
          <w:rFonts w:cs="Arial"/>
        </w:rPr>
        <w:t>Section 661</w:t>
      </w:r>
      <w:r>
        <w:rPr>
          <w:rFonts w:cs="Arial"/>
        </w:rPr>
        <w:tab/>
        <w:t>HMA Shoulder Curb</w:t>
      </w:r>
    </w:p>
    <w:p w14:paraId="22A1534B" w14:textId="275E1E5C" w:rsidR="00DE4699" w:rsidRPr="00202D34" w:rsidRDefault="00DE4699" w:rsidP="00B85466">
      <w:pPr>
        <w:jc w:val="left"/>
        <w:rPr>
          <w:rFonts w:cs="Arial"/>
        </w:rPr>
      </w:pPr>
      <w:r>
        <w:rPr>
          <w:rFonts w:cs="Arial"/>
        </w:rPr>
        <w:t>Recurring Check Sheet #35 PCC Partial Depth HMA Patching</w:t>
      </w:r>
    </w:p>
    <w:p w14:paraId="63D0AF94" w14:textId="77777777" w:rsidR="00A77DDA" w:rsidRPr="00202D34" w:rsidRDefault="00A77DDA" w:rsidP="00B85466">
      <w:pPr>
        <w:jc w:val="left"/>
        <w:rPr>
          <w:rFonts w:cs="Arial"/>
        </w:rPr>
      </w:pPr>
    </w:p>
    <w:p w14:paraId="57EC9A4E" w14:textId="44D94E34" w:rsidR="00A77DDA" w:rsidRPr="00202D34" w:rsidRDefault="00A77DDA" w:rsidP="00B85466">
      <w:pPr>
        <w:jc w:val="left"/>
        <w:rPr>
          <w:rFonts w:cs="Arial"/>
        </w:rPr>
      </w:pPr>
      <w:r w:rsidRPr="00202D34">
        <w:rPr>
          <w:rFonts w:cs="Arial"/>
        </w:rPr>
        <w:t xml:space="preserve">The districts should include the BDE Check Sheet marked with the applicable special provisions for the </w:t>
      </w:r>
      <w:r w:rsidR="007E4ADC">
        <w:rPr>
          <w:rFonts w:cs="Arial"/>
        </w:rPr>
        <w:t>August</w:t>
      </w:r>
      <w:r w:rsidR="001F397F">
        <w:rPr>
          <w:rFonts w:cs="Arial"/>
        </w:rPr>
        <w:t> </w:t>
      </w:r>
      <w:r w:rsidR="007E4ADC">
        <w:rPr>
          <w:rFonts w:cs="Arial"/>
        </w:rPr>
        <w:t>2</w:t>
      </w:r>
      <w:r w:rsidR="003C0061">
        <w:rPr>
          <w:rFonts w:cs="Arial"/>
        </w:rPr>
        <w:t>, 2019</w:t>
      </w:r>
      <w:r w:rsidRPr="00202D34">
        <w:rPr>
          <w:rFonts w:cs="Arial"/>
        </w:rPr>
        <w:t xml:space="preserve"> and subsequent lettings.  The Project Coordination and Implementation Section will include a copy in the contract.</w:t>
      </w:r>
    </w:p>
    <w:p w14:paraId="2AE87E80" w14:textId="77777777" w:rsidR="00A77DDA" w:rsidRPr="00202D34" w:rsidRDefault="00A77DDA" w:rsidP="00B85466">
      <w:pPr>
        <w:jc w:val="left"/>
        <w:rPr>
          <w:rFonts w:cs="Arial"/>
        </w:rPr>
      </w:pPr>
    </w:p>
    <w:p w14:paraId="3449B803" w14:textId="31FDE08E" w:rsidR="00A77DDA" w:rsidRPr="00202D34" w:rsidRDefault="00A77DDA" w:rsidP="00B85466">
      <w:pPr>
        <w:jc w:val="left"/>
        <w:rPr>
          <w:rFonts w:cs="Arial"/>
        </w:rPr>
      </w:pPr>
      <w:r w:rsidRPr="00202D34">
        <w:rPr>
          <w:rFonts w:cs="Arial"/>
        </w:rPr>
        <w:t xml:space="preserve">This special provision will be available on the transfer directory </w:t>
      </w:r>
      <w:r w:rsidR="007E4ADC">
        <w:rPr>
          <w:rFonts w:cs="Arial"/>
        </w:rPr>
        <w:t>April</w:t>
      </w:r>
      <w:r w:rsidR="001F397F">
        <w:rPr>
          <w:rFonts w:cs="Arial"/>
        </w:rPr>
        <w:t> </w:t>
      </w:r>
      <w:r w:rsidR="007E4ADC">
        <w:rPr>
          <w:rFonts w:cs="Arial"/>
        </w:rPr>
        <w:t>19</w:t>
      </w:r>
      <w:r w:rsidR="003C0061">
        <w:rPr>
          <w:rFonts w:cs="Arial"/>
        </w:rPr>
        <w:t>, 2019</w:t>
      </w:r>
      <w:r w:rsidRPr="00202D34">
        <w:rPr>
          <w:rFonts w:cs="Arial"/>
        </w:rPr>
        <w:t>.</w:t>
      </w:r>
    </w:p>
    <w:p w14:paraId="0B2517D2" w14:textId="77777777" w:rsidR="00A77DDA" w:rsidRPr="00202D34" w:rsidRDefault="00A77DDA" w:rsidP="00B85466">
      <w:pPr>
        <w:jc w:val="left"/>
        <w:rPr>
          <w:rFonts w:cs="Arial"/>
        </w:rPr>
      </w:pPr>
    </w:p>
    <w:p w14:paraId="290F86C4" w14:textId="77777777" w:rsidR="00A77DDA" w:rsidRPr="00202D34" w:rsidRDefault="00A77DDA" w:rsidP="00B85466">
      <w:pPr>
        <w:jc w:val="left"/>
        <w:rPr>
          <w:rFonts w:cs="Arial"/>
        </w:rPr>
      </w:pPr>
    </w:p>
    <w:p w14:paraId="53B1DEE0" w14:textId="223139CF" w:rsidR="00A77DDA" w:rsidRPr="00202D34" w:rsidRDefault="00A77DDA" w:rsidP="00B85466">
      <w:pPr>
        <w:jc w:val="left"/>
        <w:rPr>
          <w:rFonts w:cs="Arial"/>
        </w:rPr>
      </w:pPr>
      <w:r w:rsidRPr="00202D34">
        <w:rPr>
          <w:rFonts w:cs="Arial"/>
        </w:rPr>
        <w:t>804</w:t>
      </w:r>
      <w:r w:rsidR="00E567BD">
        <w:rPr>
          <w:rFonts w:cs="Arial"/>
        </w:rPr>
        <w:t>15</w:t>
      </w:r>
      <w:r w:rsidRPr="00202D34">
        <w:rPr>
          <w:rFonts w:cs="Arial"/>
        </w:rPr>
        <w:t>m</w:t>
      </w:r>
    </w:p>
    <w:p w14:paraId="084FFD6F" w14:textId="77777777" w:rsidR="00A77DDA" w:rsidRPr="00202D34" w:rsidRDefault="00A77DDA" w:rsidP="00B85466">
      <w:pPr>
        <w:jc w:val="left"/>
        <w:rPr>
          <w:rFonts w:cs="Arial"/>
        </w:rPr>
        <w:sectPr w:rsidR="00A77DDA" w:rsidRPr="00202D34" w:rsidSect="00B85466">
          <w:pgSz w:w="12240" w:h="15840" w:code="1"/>
          <w:pgMar w:top="2592" w:right="1800" w:bottom="720" w:left="2736" w:header="720" w:footer="720" w:gutter="0"/>
          <w:cols w:space="720"/>
        </w:sectPr>
      </w:pPr>
    </w:p>
    <w:p w14:paraId="7FBA30B6" w14:textId="5BD8075F" w:rsidR="00A77DDA" w:rsidRPr="00202D34" w:rsidRDefault="006C44EF" w:rsidP="00B85466">
      <w:pPr>
        <w:pStyle w:val="Heading1"/>
        <w:jc w:val="left"/>
        <w:rPr>
          <w:rFonts w:cs="Arial"/>
          <w:szCs w:val="22"/>
        </w:rPr>
      </w:pPr>
      <w:r>
        <w:rPr>
          <w:rFonts w:cs="Arial"/>
          <w:szCs w:val="22"/>
        </w:rPr>
        <w:lastRenderedPageBreak/>
        <w:t>Emulsified asphalts</w:t>
      </w:r>
      <w:r w:rsidR="00A77DDA" w:rsidRPr="00202D34">
        <w:rPr>
          <w:rFonts w:cs="Arial"/>
          <w:szCs w:val="22"/>
        </w:rPr>
        <w:t xml:space="preserve"> (bde)</w:t>
      </w:r>
    </w:p>
    <w:p w14:paraId="24EBA876" w14:textId="77777777" w:rsidR="00A77DDA" w:rsidRPr="00202D34" w:rsidRDefault="00A77DDA" w:rsidP="00B85466">
      <w:pPr>
        <w:jc w:val="left"/>
        <w:rPr>
          <w:rFonts w:cs="Arial"/>
        </w:rPr>
      </w:pPr>
    </w:p>
    <w:p w14:paraId="7FAA7188" w14:textId="77777777" w:rsidR="00A77DDA" w:rsidRPr="00202D34" w:rsidRDefault="00A77DDA" w:rsidP="00B85466">
      <w:pPr>
        <w:jc w:val="left"/>
      </w:pPr>
      <w:r w:rsidRPr="00202D34">
        <w:t xml:space="preserve">Effective:  </w:t>
      </w:r>
      <w:r w:rsidR="007776CF">
        <w:t>A</w:t>
      </w:r>
      <w:r w:rsidR="00880906">
        <w:t xml:space="preserve">ugust </w:t>
      </w:r>
      <w:r w:rsidR="007776CF">
        <w:t>1, 2019</w:t>
      </w:r>
    </w:p>
    <w:p w14:paraId="48D2773A" w14:textId="77777777" w:rsidR="00A77DDA" w:rsidRPr="00953923" w:rsidRDefault="00A77DDA" w:rsidP="00A77DDA">
      <w:pPr>
        <w:rPr>
          <w:rFonts w:cs="Arial"/>
        </w:rPr>
      </w:pPr>
    </w:p>
    <w:p w14:paraId="3F5C4337" w14:textId="57BDDF25" w:rsidR="00BC738B" w:rsidRDefault="002112CD" w:rsidP="002112CD">
      <w:pPr>
        <w:rPr>
          <w:rFonts w:cs="Arial"/>
        </w:rPr>
      </w:pPr>
      <w:bookmarkStart w:id="1" w:name="_Hlk1980485"/>
      <w:r>
        <w:rPr>
          <w:rFonts w:cs="Arial"/>
        </w:rPr>
        <w:t>Revise Article 1032.06 of the Standard Specifications to read:</w:t>
      </w:r>
    </w:p>
    <w:p w14:paraId="05D5A2F4" w14:textId="77777777" w:rsidR="002112CD" w:rsidRPr="00953923" w:rsidRDefault="002112CD" w:rsidP="002112CD">
      <w:pPr>
        <w:rPr>
          <w:rFonts w:cs="Arial"/>
        </w:rPr>
      </w:pPr>
    </w:p>
    <w:p w14:paraId="518B71F7" w14:textId="6214B592" w:rsidR="00BC738B" w:rsidRPr="00953923" w:rsidRDefault="00A32A1C" w:rsidP="00A32A1C">
      <w:pPr>
        <w:tabs>
          <w:tab w:val="left" w:pos="360"/>
          <w:tab w:val="left" w:pos="1350"/>
          <w:tab w:val="left" w:pos="1440"/>
        </w:tabs>
        <w:ind w:firstLine="270"/>
        <w:rPr>
          <w:rFonts w:cs="Arial"/>
          <w:snapToGrid w:val="0"/>
        </w:rPr>
      </w:pPr>
      <w:r w:rsidRPr="00A32A1C">
        <w:rPr>
          <w:rStyle w:val="Article"/>
          <w:rFonts w:cs="Arial"/>
          <w:b w:val="0"/>
          <w:sz w:val="22"/>
        </w:rPr>
        <w:t>“</w:t>
      </w:r>
      <w:r w:rsidR="00BC738B" w:rsidRPr="00953923">
        <w:rPr>
          <w:rStyle w:val="Article"/>
          <w:rFonts w:cs="Arial"/>
          <w:sz w:val="22"/>
        </w:rPr>
        <w:t>1032.06</w:t>
      </w:r>
      <w:r w:rsidR="00BC738B" w:rsidRPr="00953923">
        <w:rPr>
          <w:rFonts w:cs="Arial"/>
          <w:b/>
          <w:snapToGrid w:val="0"/>
        </w:rPr>
        <w:tab/>
        <w:t xml:space="preserve">Emulsified Asphalts.  </w:t>
      </w:r>
      <w:r w:rsidR="00BC738B" w:rsidRPr="00953923">
        <w:rPr>
          <w:rFonts w:cs="Arial"/>
        </w:rPr>
        <w:t xml:space="preserve">Emulsified asphalts will be accepted according to the current Bureau of Materials Policy Memorandum, “Emulsified Asphalt Acceptance Procedure”.  </w:t>
      </w:r>
      <w:r w:rsidR="00BC738B" w:rsidRPr="00953923">
        <w:rPr>
          <w:rFonts w:cs="Arial"/>
          <w:snapToGrid w:val="0"/>
        </w:rPr>
        <w:t>These materials shall be homogeneous and shall show no separation of asphalt after thorough mixing, within 30</w:t>
      </w:r>
      <w:r w:rsidR="007D2618">
        <w:rPr>
          <w:rFonts w:cs="Arial"/>
          <w:snapToGrid w:val="0"/>
        </w:rPr>
        <w:t> </w:t>
      </w:r>
      <w:r w:rsidR="00BC738B" w:rsidRPr="00953923">
        <w:rPr>
          <w:rFonts w:cs="Arial"/>
          <w:snapToGrid w:val="0"/>
        </w:rPr>
        <w:t>days after delivery, provided separation has not been caused by freezing.  They shall coat the aggregate being used in the work to the satisfaction of the Engineer and shall be according to the following requirements.</w:t>
      </w:r>
    </w:p>
    <w:p w14:paraId="6D9FFA87" w14:textId="77777777" w:rsidR="00BC738B" w:rsidRPr="00953923" w:rsidRDefault="00BC738B" w:rsidP="00BC738B">
      <w:pPr>
        <w:ind w:firstLine="360"/>
        <w:rPr>
          <w:rFonts w:cs="Arial"/>
          <w:snapToGrid w:val="0"/>
        </w:rPr>
      </w:pPr>
    </w:p>
    <w:p w14:paraId="2D5AF92A" w14:textId="6AE0EBFD" w:rsidR="00BC738B" w:rsidRDefault="00BC738B" w:rsidP="00E776AE">
      <w:pPr>
        <w:pStyle w:val="ListParagraph"/>
        <w:numPr>
          <w:ilvl w:val="0"/>
          <w:numId w:val="2"/>
        </w:numPr>
        <w:rPr>
          <w:rFonts w:cs="Arial"/>
          <w:snapToGrid w:val="0"/>
        </w:rPr>
      </w:pPr>
      <w:r w:rsidRPr="00481BEA">
        <w:rPr>
          <w:rFonts w:cs="Arial"/>
          <w:snapToGrid w:val="0"/>
        </w:rPr>
        <w:t xml:space="preserve">Anionic Emulsified Asphalt.  Anionic emulsified asphalts </w:t>
      </w:r>
      <w:r w:rsidR="00A0640F">
        <w:rPr>
          <w:rFonts w:cs="Arial"/>
          <w:snapToGrid w:val="0"/>
        </w:rPr>
        <w:t>RS-1, RS-2, HFRS-2, SS-1h</w:t>
      </w:r>
      <w:r w:rsidR="009D4AB5">
        <w:rPr>
          <w:rFonts w:cs="Arial"/>
          <w:snapToGrid w:val="0"/>
        </w:rPr>
        <w:t>, and</w:t>
      </w:r>
      <w:r w:rsidR="00A0640F">
        <w:rPr>
          <w:rFonts w:cs="Arial"/>
          <w:snapToGrid w:val="0"/>
        </w:rPr>
        <w:t xml:space="preserve"> SS-1 </w:t>
      </w:r>
      <w:r w:rsidRPr="00481BEA">
        <w:rPr>
          <w:rFonts w:cs="Arial"/>
          <w:snapToGrid w:val="0"/>
        </w:rPr>
        <w:t>shall be according to AASHTO M 140</w:t>
      </w:r>
      <w:r w:rsidR="005729AF">
        <w:rPr>
          <w:rFonts w:cs="Arial"/>
          <w:snapToGrid w:val="0"/>
        </w:rPr>
        <w:t>, except as follows.</w:t>
      </w:r>
    </w:p>
    <w:p w14:paraId="1AA2DA13" w14:textId="60341BCD" w:rsidR="00BB7DAF" w:rsidRDefault="00BB7DAF" w:rsidP="00773F66">
      <w:pPr>
        <w:ind w:firstLine="720"/>
        <w:rPr>
          <w:rFonts w:cs="Arial"/>
          <w:snapToGrid w:val="0"/>
        </w:rPr>
      </w:pPr>
    </w:p>
    <w:p w14:paraId="4A1B66A2" w14:textId="76830D83" w:rsidR="00BB7DAF" w:rsidRPr="00BB7DAF" w:rsidRDefault="005729AF" w:rsidP="00E776AE">
      <w:pPr>
        <w:pStyle w:val="ListParagraph"/>
        <w:numPr>
          <w:ilvl w:val="0"/>
          <w:numId w:val="3"/>
        </w:numPr>
        <w:rPr>
          <w:rFonts w:cs="Arial"/>
          <w:snapToGrid w:val="0"/>
        </w:rPr>
      </w:pPr>
      <w:r>
        <w:rPr>
          <w:rFonts w:cs="Arial"/>
          <w:snapToGrid w:val="0"/>
        </w:rPr>
        <w:t>The cement mixing test will be waived when the emulsion is being used as a tack coat.</w:t>
      </w:r>
    </w:p>
    <w:p w14:paraId="64434FB6" w14:textId="4BF30AF5" w:rsidR="00481BEA" w:rsidRDefault="00481BEA" w:rsidP="00481BEA">
      <w:pPr>
        <w:pStyle w:val="ListParagraph"/>
        <w:rPr>
          <w:rFonts w:cs="Arial"/>
          <w:snapToGrid w:val="0"/>
        </w:rPr>
      </w:pPr>
    </w:p>
    <w:p w14:paraId="45F83145" w14:textId="4D6ECFC2" w:rsidR="0096007C" w:rsidRPr="00481BEA" w:rsidRDefault="00A96823" w:rsidP="00E776AE">
      <w:pPr>
        <w:pStyle w:val="ListParagraph"/>
        <w:numPr>
          <w:ilvl w:val="0"/>
          <w:numId w:val="3"/>
        </w:numPr>
        <w:rPr>
          <w:rFonts w:cs="Arial"/>
          <w:snapToGrid w:val="0"/>
        </w:rPr>
      </w:pPr>
      <w:bookmarkStart w:id="2" w:name="_Hlk3381155"/>
      <w:r>
        <w:rPr>
          <w:rFonts w:cs="Arial"/>
          <w:snapToGrid w:val="0"/>
        </w:rPr>
        <w:t xml:space="preserve">The </w:t>
      </w:r>
      <w:r w:rsidR="0096007C">
        <w:rPr>
          <w:rFonts w:cs="Arial"/>
          <w:snapToGrid w:val="0"/>
        </w:rPr>
        <w:t xml:space="preserve">Solubility in Trichloroethylene </w:t>
      </w:r>
      <w:r>
        <w:rPr>
          <w:rFonts w:cs="Arial"/>
          <w:snapToGrid w:val="0"/>
        </w:rPr>
        <w:t xml:space="preserve">test </w:t>
      </w:r>
      <w:r w:rsidR="005729AF">
        <w:rPr>
          <w:rFonts w:cs="Arial"/>
          <w:snapToGrid w:val="0"/>
        </w:rPr>
        <w:t xml:space="preserve">according to AASHTO T 44 </w:t>
      </w:r>
      <w:r w:rsidR="0096007C">
        <w:rPr>
          <w:rFonts w:cs="Arial"/>
          <w:snapToGrid w:val="0"/>
        </w:rPr>
        <w:t>may be run in lieu of Ash Content and shall meet a minimum of 97.5</w:t>
      </w:r>
      <w:r w:rsidR="00D71649">
        <w:rPr>
          <w:rFonts w:cs="Arial"/>
          <w:snapToGrid w:val="0"/>
        </w:rPr>
        <w:t xml:space="preserve"> percent</w:t>
      </w:r>
      <w:r w:rsidR="0096007C">
        <w:rPr>
          <w:rFonts w:cs="Arial"/>
          <w:snapToGrid w:val="0"/>
        </w:rPr>
        <w:t>.</w:t>
      </w:r>
    </w:p>
    <w:bookmarkEnd w:id="2"/>
    <w:p w14:paraId="16159E4C" w14:textId="77777777" w:rsidR="00BC738B" w:rsidRPr="00953923" w:rsidRDefault="00BC738B" w:rsidP="00BC738B">
      <w:pPr>
        <w:ind w:left="720"/>
        <w:rPr>
          <w:rFonts w:cs="Arial"/>
          <w:snapToGrid w:val="0"/>
        </w:rPr>
      </w:pPr>
    </w:p>
    <w:p w14:paraId="56667B83" w14:textId="51CA3B7A" w:rsidR="00BC738B" w:rsidRDefault="00BC738B" w:rsidP="00E776AE">
      <w:pPr>
        <w:pStyle w:val="ListParagraph"/>
        <w:numPr>
          <w:ilvl w:val="0"/>
          <w:numId w:val="2"/>
        </w:numPr>
        <w:rPr>
          <w:rFonts w:cs="Arial"/>
          <w:snapToGrid w:val="0"/>
        </w:rPr>
      </w:pPr>
      <w:r w:rsidRPr="0096007C">
        <w:rPr>
          <w:rFonts w:cs="Arial"/>
          <w:snapToGrid w:val="0"/>
        </w:rPr>
        <w:t xml:space="preserve">Cationic Emulsified Asphalt.  Cationic emulsified asphalts </w:t>
      </w:r>
      <w:r w:rsidR="00AC75D4">
        <w:rPr>
          <w:rFonts w:cs="Arial"/>
          <w:snapToGrid w:val="0"/>
        </w:rPr>
        <w:t xml:space="preserve">CRS-1, CRS-2, </w:t>
      </w:r>
      <w:r w:rsidR="007E6496">
        <w:rPr>
          <w:rFonts w:cs="Arial"/>
          <w:snapToGrid w:val="0"/>
        </w:rPr>
        <w:t xml:space="preserve">CSS-1h, </w:t>
      </w:r>
      <w:r w:rsidR="00330BE1">
        <w:rPr>
          <w:rFonts w:cs="Arial"/>
          <w:snapToGrid w:val="0"/>
        </w:rPr>
        <w:t xml:space="preserve">and </w:t>
      </w:r>
      <w:r w:rsidR="007E6496">
        <w:rPr>
          <w:rFonts w:cs="Arial"/>
          <w:snapToGrid w:val="0"/>
        </w:rPr>
        <w:t>CSS-1</w:t>
      </w:r>
      <w:r w:rsidR="00AC75D4">
        <w:rPr>
          <w:rFonts w:cs="Arial"/>
          <w:snapToGrid w:val="0"/>
        </w:rPr>
        <w:t xml:space="preserve"> </w:t>
      </w:r>
      <w:r w:rsidRPr="0096007C">
        <w:rPr>
          <w:rFonts w:cs="Arial"/>
          <w:snapToGrid w:val="0"/>
        </w:rPr>
        <w:t>shall be according to AASHTO M 208</w:t>
      </w:r>
      <w:r w:rsidR="005729AF">
        <w:rPr>
          <w:rFonts w:cs="Arial"/>
          <w:snapToGrid w:val="0"/>
        </w:rPr>
        <w:t>, except as follows.</w:t>
      </w:r>
    </w:p>
    <w:p w14:paraId="53F5C9E2" w14:textId="6652F332" w:rsidR="00BB7DAF" w:rsidRDefault="00BB7DAF" w:rsidP="00773F66">
      <w:pPr>
        <w:ind w:firstLine="720"/>
        <w:rPr>
          <w:rFonts w:cs="Arial"/>
          <w:snapToGrid w:val="0"/>
        </w:rPr>
      </w:pPr>
    </w:p>
    <w:p w14:paraId="1748B03D" w14:textId="1418A7CE" w:rsidR="00BB7DAF" w:rsidRPr="00BB7DAF" w:rsidRDefault="00BB7DAF" w:rsidP="00E776AE">
      <w:pPr>
        <w:pStyle w:val="ListParagraph"/>
        <w:numPr>
          <w:ilvl w:val="0"/>
          <w:numId w:val="4"/>
        </w:numPr>
        <w:rPr>
          <w:rFonts w:cs="Arial"/>
          <w:snapToGrid w:val="0"/>
        </w:rPr>
      </w:pPr>
      <w:r w:rsidRPr="00BB7DAF">
        <w:rPr>
          <w:rFonts w:cs="Arial"/>
          <w:snapToGrid w:val="0"/>
        </w:rPr>
        <w:t>The cement mixing test will be waived when the emulsion is being used as a tack coat.</w:t>
      </w:r>
    </w:p>
    <w:p w14:paraId="67E5AEB0" w14:textId="7F27CE49" w:rsidR="0096007C" w:rsidRDefault="0096007C" w:rsidP="0096007C">
      <w:pPr>
        <w:pStyle w:val="ListParagraph"/>
        <w:rPr>
          <w:rFonts w:cs="Arial"/>
          <w:snapToGrid w:val="0"/>
        </w:rPr>
      </w:pPr>
    </w:p>
    <w:p w14:paraId="3521C47A" w14:textId="4B793A58" w:rsidR="0096007C" w:rsidRPr="0096007C" w:rsidRDefault="00A96823" w:rsidP="00E776AE">
      <w:pPr>
        <w:pStyle w:val="ListParagraph"/>
        <w:numPr>
          <w:ilvl w:val="0"/>
          <w:numId w:val="4"/>
        </w:numPr>
        <w:rPr>
          <w:rFonts w:cs="Arial"/>
          <w:snapToGrid w:val="0"/>
        </w:rPr>
      </w:pPr>
      <w:r>
        <w:rPr>
          <w:rFonts w:cs="Arial"/>
          <w:snapToGrid w:val="0"/>
        </w:rPr>
        <w:t xml:space="preserve">The </w:t>
      </w:r>
      <w:r w:rsidR="0096007C" w:rsidRPr="0096007C">
        <w:rPr>
          <w:rFonts w:cs="Arial"/>
          <w:snapToGrid w:val="0"/>
        </w:rPr>
        <w:t xml:space="preserve">Solubility in Trichloroethylene </w:t>
      </w:r>
      <w:r>
        <w:rPr>
          <w:rFonts w:cs="Arial"/>
          <w:snapToGrid w:val="0"/>
        </w:rPr>
        <w:t xml:space="preserve">test </w:t>
      </w:r>
      <w:r w:rsidR="005729AF">
        <w:rPr>
          <w:rFonts w:cs="Arial"/>
          <w:snapToGrid w:val="0"/>
        </w:rPr>
        <w:t xml:space="preserve">according to AASHTO T 44 </w:t>
      </w:r>
      <w:r w:rsidR="0096007C" w:rsidRPr="0096007C">
        <w:rPr>
          <w:rFonts w:cs="Arial"/>
          <w:snapToGrid w:val="0"/>
        </w:rPr>
        <w:t>may be run in lieu of Ash Content and shall meet a minimum of 97.5</w:t>
      </w:r>
      <w:r w:rsidR="00D71649">
        <w:rPr>
          <w:rFonts w:cs="Arial"/>
          <w:snapToGrid w:val="0"/>
        </w:rPr>
        <w:t xml:space="preserve"> percent</w:t>
      </w:r>
      <w:r w:rsidR="0096007C" w:rsidRPr="0096007C">
        <w:rPr>
          <w:rFonts w:cs="Arial"/>
          <w:snapToGrid w:val="0"/>
        </w:rPr>
        <w:t>.</w:t>
      </w:r>
    </w:p>
    <w:p w14:paraId="349D2962" w14:textId="77777777" w:rsidR="00BC738B" w:rsidRPr="00953923" w:rsidRDefault="00BC738B" w:rsidP="00BC738B">
      <w:pPr>
        <w:ind w:left="720"/>
        <w:rPr>
          <w:rFonts w:cs="Arial"/>
          <w:snapToGrid w:val="0"/>
        </w:rPr>
      </w:pPr>
    </w:p>
    <w:p w14:paraId="0C495172" w14:textId="02FF6722" w:rsidR="00BC738B" w:rsidRPr="00953923" w:rsidRDefault="00BC738B" w:rsidP="00BC738B">
      <w:pPr>
        <w:ind w:left="720" w:hanging="360"/>
        <w:rPr>
          <w:rFonts w:cs="Arial"/>
          <w:snapToGrid w:val="0"/>
        </w:rPr>
      </w:pPr>
      <w:r w:rsidRPr="00953923">
        <w:rPr>
          <w:rFonts w:cs="Arial"/>
          <w:snapToGrid w:val="0"/>
        </w:rPr>
        <w:t>(c)</w:t>
      </w:r>
      <w:r w:rsidRPr="00953923">
        <w:rPr>
          <w:rFonts w:cs="Arial"/>
          <w:snapToGrid w:val="0"/>
        </w:rPr>
        <w:tab/>
        <w:t xml:space="preserve">High Float Emulsion.  High float emulsions </w:t>
      </w:r>
      <w:r w:rsidR="007E6496">
        <w:rPr>
          <w:rFonts w:cs="Arial"/>
          <w:snapToGrid w:val="0"/>
        </w:rPr>
        <w:t xml:space="preserve">HFE-90, HFE-150, </w:t>
      </w:r>
      <w:r w:rsidR="009D4AB5">
        <w:rPr>
          <w:rFonts w:cs="Arial"/>
          <w:snapToGrid w:val="0"/>
        </w:rPr>
        <w:t xml:space="preserve">and </w:t>
      </w:r>
      <w:r w:rsidR="007E6496">
        <w:rPr>
          <w:rFonts w:cs="Arial"/>
          <w:snapToGrid w:val="0"/>
        </w:rPr>
        <w:t>HFE-300</w:t>
      </w:r>
      <w:r w:rsidR="009D4AB5">
        <w:rPr>
          <w:rFonts w:cs="Arial"/>
          <w:snapToGrid w:val="0"/>
        </w:rPr>
        <w:t xml:space="preserve"> </w:t>
      </w:r>
      <w:r w:rsidRPr="00953923">
        <w:rPr>
          <w:rFonts w:cs="Arial"/>
          <w:snapToGrid w:val="0"/>
        </w:rPr>
        <w:t>are medium setting and shall be according to the following table.</w:t>
      </w:r>
    </w:p>
    <w:p w14:paraId="73C648C5" w14:textId="77777777" w:rsidR="00BC738B" w:rsidRPr="00953923" w:rsidRDefault="00BC738B" w:rsidP="00BC738B">
      <w:pPr>
        <w:ind w:left="720"/>
        <w:rPr>
          <w:rFonts w:cs="Arial"/>
          <w:snapToGrid w:val="0"/>
        </w:rPr>
      </w:pPr>
    </w:p>
    <w:tbl>
      <w:tblPr>
        <w:tblW w:w="8630" w:type="dxa"/>
        <w:tblInd w:w="725" w:type="dxa"/>
        <w:tblLayout w:type="fixed"/>
        <w:tblCellMar>
          <w:left w:w="0" w:type="dxa"/>
          <w:right w:w="0" w:type="dxa"/>
        </w:tblCellMar>
        <w:tblLook w:val="0000" w:firstRow="0" w:lastRow="0" w:firstColumn="0" w:lastColumn="0" w:noHBand="0" w:noVBand="0"/>
      </w:tblPr>
      <w:tblGrid>
        <w:gridCol w:w="4310"/>
        <w:gridCol w:w="1440"/>
        <w:gridCol w:w="1440"/>
        <w:gridCol w:w="1440"/>
      </w:tblGrid>
      <w:tr w:rsidR="00BC738B" w:rsidRPr="00953923" w14:paraId="6BA9C5E9" w14:textId="77777777" w:rsidTr="005C0144">
        <w:trPr>
          <w:cantSplit/>
        </w:trPr>
        <w:tc>
          <w:tcPr>
            <w:tcW w:w="4310" w:type="dxa"/>
            <w:tcBorders>
              <w:top w:val="single" w:sz="4" w:space="0" w:color="auto"/>
              <w:left w:val="single" w:sz="4" w:space="0" w:color="auto"/>
              <w:bottom w:val="single" w:sz="4" w:space="0" w:color="auto"/>
              <w:right w:val="single" w:sz="4" w:space="0" w:color="auto"/>
            </w:tcBorders>
          </w:tcPr>
          <w:p w14:paraId="18E29CEA" w14:textId="77777777" w:rsidR="00BC738B" w:rsidRPr="00953923" w:rsidRDefault="00BC738B" w:rsidP="002112CD">
            <w:pPr>
              <w:spacing w:before="60" w:after="60"/>
              <w:ind w:left="72"/>
              <w:jc w:val="center"/>
              <w:rPr>
                <w:rFonts w:cs="Arial"/>
                <w:snapToGrid w:val="0"/>
              </w:rPr>
            </w:pPr>
            <w:r w:rsidRPr="00953923">
              <w:rPr>
                <w:rFonts w:cs="Arial"/>
                <w:snapToGrid w:val="0"/>
              </w:rPr>
              <w:t>Test</w:t>
            </w:r>
          </w:p>
        </w:tc>
        <w:tc>
          <w:tcPr>
            <w:tcW w:w="1440" w:type="dxa"/>
            <w:tcBorders>
              <w:top w:val="single" w:sz="4" w:space="0" w:color="auto"/>
              <w:left w:val="single" w:sz="4" w:space="0" w:color="auto"/>
              <w:bottom w:val="single" w:sz="4" w:space="0" w:color="auto"/>
              <w:right w:val="single" w:sz="4" w:space="0" w:color="auto"/>
            </w:tcBorders>
          </w:tcPr>
          <w:p w14:paraId="48AA6D7C" w14:textId="77777777" w:rsidR="00BC738B" w:rsidRPr="00953923" w:rsidRDefault="00BC738B" w:rsidP="002112CD">
            <w:pPr>
              <w:spacing w:before="60" w:after="60"/>
              <w:jc w:val="center"/>
              <w:rPr>
                <w:rFonts w:cs="Arial"/>
                <w:snapToGrid w:val="0"/>
              </w:rPr>
            </w:pPr>
            <w:r w:rsidRPr="00953923">
              <w:rPr>
                <w:rFonts w:cs="Arial"/>
                <w:snapToGrid w:val="0"/>
              </w:rPr>
              <w:t>HFE-90</w:t>
            </w:r>
          </w:p>
        </w:tc>
        <w:tc>
          <w:tcPr>
            <w:tcW w:w="1440" w:type="dxa"/>
            <w:tcBorders>
              <w:top w:val="single" w:sz="4" w:space="0" w:color="auto"/>
              <w:left w:val="single" w:sz="4" w:space="0" w:color="auto"/>
              <w:bottom w:val="single" w:sz="4" w:space="0" w:color="auto"/>
              <w:right w:val="single" w:sz="4" w:space="0" w:color="auto"/>
            </w:tcBorders>
          </w:tcPr>
          <w:p w14:paraId="4D371BE4" w14:textId="77777777" w:rsidR="00BC738B" w:rsidRPr="00953923" w:rsidRDefault="00BC738B" w:rsidP="002112CD">
            <w:pPr>
              <w:spacing w:before="60" w:after="60"/>
              <w:jc w:val="center"/>
              <w:rPr>
                <w:rFonts w:cs="Arial"/>
                <w:snapToGrid w:val="0"/>
              </w:rPr>
            </w:pPr>
            <w:r w:rsidRPr="00953923">
              <w:rPr>
                <w:rFonts w:cs="Arial"/>
                <w:snapToGrid w:val="0"/>
              </w:rPr>
              <w:t>HFE-150</w:t>
            </w:r>
          </w:p>
        </w:tc>
        <w:tc>
          <w:tcPr>
            <w:tcW w:w="1440" w:type="dxa"/>
            <w:tcBorders>
              <w:top w:val="single" w:sz="4" w:space="0" w:color="auto"/>
              <w:left w:val="single" w:sz="4" w:space="0" w:color="auto"/>
              <w:bottom w:val="single" w:sz="4" w:space="0" w:color="auto"/>
              <w:right w:val="single" w:sz="4" w:space="0" w:color="auto"/>
            </w:tcBorders>
          </w:tcPr>
          <w:p w14:paraId="5635DE9B" w14:textId="77777777" w:rsidR="00BC738B" w:rsidRPr="00953923" w:rsidRDefault="00BC738B" w:rsidP="002112CD">
            <w:pPr>
              <w:spacing w:before="60" w:after="60"/>
              <w:jc w:val="center"/>
              <w:rPr>
                <w:rFonts w:cs="Arial"/>
                <w:snapToGrid w:val="0"/>
              </w:rPr>
            </w:pPr>
            <w:r w:rsidRPr="00953923">
              <w:rPr>
                <w:rFonts w:cs="Arial"/>
                <w:snapToGrid w:val="0"/>
              </w:rPr>
              <w:t>HFE-300</w:t>
            </w:r>
          </w:p>
        </w:tc>
      </w:tr>
      <w:tr w:rsidR="00BC738B" w:rsidRPr="00953923" w14:paraId="24FDDFDB" w14:textId="77777777" w:rsidTr="005C0144">
        <w:trPr>
          <w:cantSplit/>
          <w:trHeight w:val="108"/>
        </w:trPr>
        <w:tc>
          <w:tcPr>
            <w:tcW w:w="4310" w:type="dxa"/>
            <w:tcBorders>
              <w:top w:val="single" w:sz="4" w:space="0" w:color="auto"/>
              <w:left w:val="single" w:sz="4" w:space="0" w:color="auto"/>
              <w:bottom w:val="single" w:sz="4" w:space="0" w:color="auto"/>
              <w:right w:val="single" w:sz="4" w:space="0" w:color="auto"/>
            </w:tcBorders>
          </w:tcPr>
          <w:p w14:paraId="6B1A612C" w14:textId="0271CF41" w:rsidR="00BC738B" w:rsidRPr="00953923" w:rsidRDefault="00BC738B" w:rsidP="002112CD">
            <w:pPr>
              <w:ind w:left="72"/>
              <w:jc w:val="left"/>
              <w:rPr>
                <w:rFonts w:cs="Arial"/>
                <w:snapToGrid w:val="0"/>
              </w:rPr>
            </w:pPr>
            <w:r w:rsidRPr="00953923">
              <w:rPr>
                <w:rFonts w:cs="Arial"/>
                <w:snapToGrid w:val="0"/>
              </w:rPr>
              <w:t xml:space="preserve">Viscosity, </w:t>
            </w:r>
            <w:proofErr w:type="spellStart"/>
            <w:r w:rsidRPr="00953923">
              <w:rPr>
                <w:rFonts w:cs="Arial"/>
                <w:snapToGrid w:val="0"/>
              </w:rPr>
              <w:t>Saybolt</w:t>
            </w:r>
            <w:proofErr w:type="spellEnd"/>
            <w:r w:rsidRPr="00953923">
              <w:rPr>
                <w:rFonts w:cs="Arial"/>
                <w:snapToGrid w:val="0"/>
              </w:rPr>
              <w:t xml:space="preserve"> </w:t>
            </w:r>
            <w:proofErr w:type="spellStart"/>
            <w:r w:rsidRPr="00953923">
              <w:rPr>
                <w:rFonts w:cs="Arial"/>
                <w:snapToGrid w:val="0"/>
              </w:rPr>
              <w:t>Furol</w:t>
            </w:r>
            <w:proofErr w:type="spellEnd"/>
            <w:r w:rsidRPr="00953923">
              <w:rPr>
                <w:rFonts w:cs="Arial"/>
                <w:snapToGrid w:val="0"/>
              </w:rPr>
              <w:t>, at 122 °F (50</w:t>
            </w:r>
            <w:r w:rsidR="003542ED">
              <w:rPr>
                <w:rFonts w:cs="Arial"/>
                <w:snapToGrid w:val="0"/>
              </w:rPr>
              <w:t xml:space="preserve"> </w:t>
            </w:r>
            <w:r w:rsidRPr="00953923">
              <w:rPr>
                <w:rFonts w:cs="Arial"/>
                <w:snapToGrid w:val="0"/>
              </w:rPr>
              <w:t xml:space="preserve">°C), </w:t>
            </w:r>
          </w:p>
          <w:p w14:paraId="6E0EB39E" w14:textId="2D8F7DAA" w:rsidR="00BC738B" w:rsidRPr="00953923" w:rsidRDefault="00BC738B" w:rsidP="002112CD">
            <w:pPr>
              <w:ind w:left="180"/>
              <w:jc w:val="left"/>
              <w:rPr>
                <w:rFonts w:cs="Arial"/>
                <w:snapToGrid w:val="0"/>
              </w:rPr>
            </w:pPr>
            <w:r w:rsidRPr="00953923">
              <w:rPr>
                <w:rFonts w:cs="Arial"/>
                <w:snapToGrid w:val="0"/>
              </w:rPr>
              <w:t>(AASHTO T 59), SFS</w:t>
            </w:r>
            <w:r w:rsidR="005B1517">
              <w:rPr>
                <w:rFonts w:cs="Arial"/>
                <w:snapToGrid w:val="0"/>
              </w:rPr>
              <w:t xml:space="preserve"> </w:t>
            </w:r>
            <w:r w:rsidRPr="00953923">
              <w:rPr>
                <w:rFonts w:cs="Arial"/>
                <w:snapToGrid w:val="0"/>
                <w:vertAlign w:val="superscript"/>
              </w:rPr>
              <w:t>1/</w:t>
            </w:r>
          </w:p>
        </w:tc>
        <w:tc>
          <w:tcPr>
            <w:tcW w:w="1440" w:type="dxa"/>
            <w:tcBorders>
              <w:top w:val="single" w:sz="4" w:space="0" w:color="auto"/>
              <w:left w:val="nil"/>
              <w:bottom w:val="single" w:sz="4" w:space="0" w:color="auto"/>
              <w:right w:val="single" w:sz="4" w:space="0" w:color="auto"/>
            </w:tcBorders>
          </w:tcPr>
          <w:p w14:paraId="450D9E1F" w14:textId="77777777" w:rsidR="00BC738B" w:rsidRPr="00953923" w:rsidRDefault="00BC738B" w:rsidP="002112CD">
            <w:pPr>
              <w:jc w:val="center"/>
              <w:rPr>
                <w:rFonts w:cs="Arial"/>
                <w:snapToGrid w:val="0"/>
              </w:rPr>
            </w:pPr>
          </w:p>
          <w:p w14:paraId="3677F07E" w14:textId="77777777" w:rsidR="00BC738B" w:rsidRPr="00953923" w:rsidRDefault="00BC738B" w:rsidP="002112CD">
            <w:pPr>
              <w:jc w:val="center"/>
              <w:rPr>
                <w:rFonts w:cs="Arial"/>
                <w:snapToGrid w:val="0"/>
              </w:rPr>
            </w:pPr>
            <w:r w:rsidRPr="00953923">
              <w:rPr>
                <w:rFonts w:cs="Arial"/>
                <w:snapToGrid w:val="0"/>
              </w:rPr>
              <w:t>50 min.</w:t>
            </w:r>
          </w:p>
        </w:tc>
        <w:tc>
          <w:tcPr>
            <w:tcW w:w="1440" w:type="dxa"/>
            <w:tcBorders>
              <w:top w:val="single" w:sz="4" w:space="0" w:color="auto"/>
              <w:left w:val="nil"/>
              <w:bottom w:val="single" w:sz="4" w:space="0" w:color="auto"/>
              <w:right w:val="single" w:sz="4" w:space="0" w:color="auto"/>
            </w:tcBorders>
          </w:tcPr>
          <w:p w14:paraId="3251D476" w14:textId="77777777" w:rsidR="00BC738B" w:rsidRPr="00953923" w:rsidRDefault="00BC738B" w:rsidP="002112CD">
            <w:pPr>
              <w:jc w:val="center"/>
              <w:rPr>
                <w:rFonts w:cs="Arial"/>
                <w:snapToGrid w:val="0"/>
              </w:rPr>
            </w:pPr>
          </w:p>
          <w:p w14:paraId="08507FAC" w14:textId="77777777" w:rsidR="00BC738B" w:rsidRPr="00953923" w:rsidRDefault="00BC738B" w:rsidP="002112CD">
            <w:pPr>
              <w:jc w:val="center"/>
              <w:rPr>
                <w:rFonts w:cs="Arial"/>
                <w:snapToGrid w:val="0"/>
              </w:rPr>
            </w:pPr>
            <w:r w:rsidRPr="00953923">
              <w:rPr>
                <w:rFonts w:cs="Arial"/>
                <w:snapToGrid w:val="0"/>
              </w:rPr>
              <w:t>50 min.</w:t>
            </w:r>
          </w:p>
        </w:tc>
        <w:tc>
          <w:tcPr>
            <w:tcW w:w="1440" w:type="dxa"/>
            <w:tcBorders>
              <w:top w:val="single" w:sz="4" w:space="0" w:color="auto"/>
              <w:left w:val="nil"/>
              <w:bottom w:val="single" w:sz="4" w:space="0" w:color="auto"/>
              <w:right w:val="single" w:sz="4" w:space="0" w:color="auto"/>
            </w:tcBorders>
          </w:tcPr>
          <w:p w14:paraId="133EA3EE" w14:textId="77777777" w:rsidR="00BC738B" w:rsidRPr="00953923" w:rsidRDefault="00BC738B" w:rsidP="002112CD">
            <w:pPr>
              <w:jc w:val="center"/>
              <w:rPr>
                <w:rFonts w:cs="Arial"/>
                <w:snapToGrid w:val="0"/>
              </w:rPr>
            </w:pPr>
          </w:p>
          <w:p w14:paraId="6523AF03" w14:textId="77777777" w:rsidR="00BC738B" w:rsidRPr="00953923" w:rsidRDefault="00BC738B" w:rsidP="002112CD">
            <w:pPr>
              <w:jc w:val="center"/>
              <w:rPr>
                <w:rFonts w:cs="Arial"/>
                <w:snapToGrid w:val="0"/>
              </w:rPr>
            </w:pPr>
            <w:r w:rsidRPr="00953923">
              <w:rPr>
                <w:rFonts w:cs="Arial"/>
                <w:snapToGrid w:val="0"/>
              </w:rPr>
              <w:t>50 min.</w:t>
            </w:r>
          </w:p>
        </w:tc>
      </w:tr>
      <w:tr w:rsidR="00BC738B" w:rsidRPr="00953923" w14:paraId="7A06834E" w14:textId="77777777" w:rsidTr="005C0144">
        <w:trPr>
          <w:cantSplit/>
          <w:trHeight w:val="81"/>
        </w:trPr>
        <w:tc>
          <w:tcPr>
            <w:tcW w:w="4310" w:type="dxa"/>
            <w:tcBorders>
              <w:top w:val="single" w:sz="4" w:space="0" w:color="auto"/>
              <w:left w:val="single" w:sz="4" w:space="0" w:color="auto"/>
              <w:bottom w:val="single" w:sz="4" w:space="0" w:color="auto"/>
              <w:right w:val="single" w:sz="4" w:space="0" w:color="auto"/>
            </w:tcBorders>
          </w:tcPr>
          <w:p w14:paraId="3A819F43" w14:textId="77777777" w:rsidR="00BC738B" w:rsidRPr="00953923" w:rsidRDefault="00BC738B" w:rsidP="002112CD">
            <w:pPr>
              <w:ind w:left="180" w:hanging="108"/>
              <w:jc w:val="left"/>
              <w:rPr>
                <w:rFonts w:cs="Arial"/>
                <w:snapToGrid w:val="0"/>
              </w:rPr>
            </w:pPr>
            <w:r w:rsidRPr="00953923">
              <w:rPr>
                <w:rFonts w:cs="Arial"/>
                <w:snapToGrid w:val="0"/>
              </w:rPr>
              <w:t>Sieve Test, No. 20 (850 µm), retained on sieve, (AASHTO T 59), %</w:t>
            </w:r>
          </w:p>
        </w:tc>
        <w:tc>
          <w:tcPr>
            <w:tcW w:w="1440" w:type="dxa"/>
            <w:tcBorders>
              <w:top w:val="single" w:sz="4" w:space="0" w:color="auto"/>
              <w:left w:val="nil"/>
              <w:bottom w:val="single" w:sz="4" w:space="0" w:color="auto"/>
              <w:right w:val="single" w:sz="4" w:space="0" w:color="auto"/>
            </w:tcBorders>
          </w:tcPr>
          <w:p w14:paraId="19C7AADA" w14:textId="77777777" w:rsidR="00BC738B" w:rsidRPr="00953923" w:rsidRDefault="00BC738B" w:rsidP="002112CD">
            <w:pPr>
              <w:jc w:val="center"/>
              <w:rPr>
                <w:rFonts w:cs="Arial"/>
                <w:snapToGrid w:val="0"/>
              </w:rPr>
            </w:pPr>
          </w:p>
          <w:p w14:paraId="1BF23B0C" w14:textId="77777777" w:rsidR="00BC738B" w:rsidRPr="00953923" w:rsidRDefault="00BC738B" w:rsidP="002112CD">
            <w:pPr>
              <w:jc w:val="center"/>
              <w:rPr>
                <w:rFonts w:cs="Arial"/>
                <w:snapToGrid w:val="0"/>
              </w:rPr>
            </w:pPr>
            <w:r w:rsidRPr="00953923">
              <w:rPr>
                <w:rFonts w:cs="Arial"/>
                <w:snapToGrid w:val="0"/>
              </w:rPr>
              <w:t>0.10 max.</w:t>
            </w:r>
          </w:p>
        </w:tc>
        <w:tc>
          <w:tcPr>
            <w:tcW w:w="1440" w:type="dxa"/>
            <w:tcBorders>
              <w:top w:val="single" w:sz="4" w:space="0" w:color="auto"/>
              <w:left w:val="nil"/>
              <w:bottom w:val="single" w:sz="4" w:space="0" w:color="auto"/>
              <w:right w:val="single" w:sz="4" w:space="0" w:color="auto"/>
            </w:tcBorders>
          </w:tcPr>
          <w:p w14:paraId="36D00AA2" w14:textId="77777777" w:rsidR="00BC738B" w:rsidRPr="00953923" w:rsidRDefault="00BC738B" w:rsidP="002112CD">
            <w:pPr>
              <w:jc w:val="center"/>
              <w:rPr>
                <w:rFonts w:cs="Arial"/>
                <w:snapToGrid w:val="0"/>
              </w:rPr>
            </w:pPr>
          </w:p>
          <w:p w14:paraId="6634C96F" w14:textId="77777777" w:rsidR="00BC738B" w:rsidRPr="00953923" w:rsidRDefault="00BC738B" w:rsidP="002112CD">
            <w:pPr>
              <w:jc w:val="center"/>
              <w:rPr>
                <w:rFonts w:cs="Arial"/>
                <w:snapToGrid w:val="0"/>
              </w:rPr>
            </w:pPr>
            <w:r w:rsidRPr="00953923">
              <w:rPr>
                <w:rFonts w:cs="Arial"/>
                <w:snapToGrid w:val="0"/>
              </w:rPr>
              <w:t>0.10 max.</w:t>
            </w:r>
          </w:p>
        </w:tc>
        <w:tc>
          <w:tcPr>
            <w:tcW w:w="1440" w:type="dxa"/>
            <w:tcBorders>
              <w:top w:val="single" w:sz="4" w:space="0" w:color="auto"/>
              <w:left w:val="nil"/>
              <w:bottom w:val="single" w:sz="4" w:space="0" w:color="auto"/>
              <w:right w:val="single" w:sz="4" w:space="0" w:color="auto"/>
            </w:tcBorders>
          </w:tcPr>
          <w:p w14:paraId="12208656" w14:textId="77777777" w:rsidR="00BC738B" w:rsidRPr="00953923" w:rsidRDefault="00BC738B" w:rsidP="002112CD">
            <w:pPr>
              <w:jc w:val="center"/>
              <w:rPr>
                <w:rFonts w:cs="Arial"/>
                <w:snapToGrid w:val="0"/>
              </w:rPr>
            </w:pPr>
          </w:p>
          <w:p w14:paraId="04CE5103" w14:textId="77777777" w:rsidR="00BC738B" w:rsidRPr="00953923" w:rsidRDefault="00BC738B" w:rsidP="002112CD">
            <w:pPr>
              <w:jc w:val="center"/>
              <w:rPr>
                <w:rFonts w:cs="Arial"/>
                <w:snapToGrid w:val="0"/>
              </w:rPr>
            </w:pPr>
            <w:r w:rsidRPr="00953923">
              <w:rPr>
                <w:rFonts w:cs="Arial"/>
                <w:snapToGrid w:val="0"/>
              </w:rPr>
              <w:t>0.10 max.</w:t>
            </w:r>
          </w:p>
        </w:tc>
      </w:tr>
      <w:tr w:rsidR="00BC738B" w:rsidRPr="00953923" w14:paraId="54AD010D" w14:textId="77777777" w:rsidTr="005C0144">
        <w:trPr>
          <w:cantSplit/>
        </w:trPr>
        <w:tc>
          <w:tcPr>
            <w:tcW w:w="4310" w:type="dxa"/>
            <w:tcBorders>
              <w:top w:val="single" w:sz="4" w:space="0" w:color="auto"/>
              <w:left w:val="single" w:sz="4" w:space="0" w:color="auto"/>
              <w:bottom w:val="single" w:sz="4" w:space="0" w:color="auto"/>
              <w:right w:val="single" w:sz="4" w:space="0" w:color="auto"/>
            </w:tcBorders>
          </w:tcPr>
          <w:p w14:paraId="56BF1721" w14:textId="77777777" w:rsidR="00BC738B" w:rsidRPr="00953923" w:rsidRDefault="00BC738B" w:rsidP="002112CD">
            <w:pPr>
              <w:ind w:left="72"/>
              <w:jc w:val="left"/>
              <w:rPr>
                <w:rFonts w:cs="Arial"/>
                <w:snapToGrid w:val="0"/>
              </w:rPr>
            </w:pPr>
            <w:r w:rsidRPr="00953923">
              <w:rPr>
                <w:rFonts w:cs="Arial"/>
                <w:snapToGrid w:val="0"/>
              </w:rPr>
              <w:t xml:space="preserve">Storage Stability Test, 1 day, </w:t>
            </w:r>
          </w:p>
          <w:p w14:paraId="7BE71FEE" w14:textId="203561E7" w:rsidR="00BC738B" w:rsidRPr="00953923" w:rsidRDefault="00BC738B" w:rsidP="002112CD">
            <w:pPr>
              <w:ind w:left="180"/>
              <w:jc w:val="left"/>
              <w:rPr>
                <w:rFonts w:cs="Arial"/>
                <w:snapToGrid w:val="0"/>
              </w:rPr>
            </w:pPr>
            <w:r w:rsidRPr="00953923">
              <w:rPr>
                <w:rFonts w:cs="Arial"/>
                <w:snapToGrid w:val="0"/>
              </w:rPr>
              <w:t>(AASHTO T 59), %</w:t>
            </w:r>
          </w:p>
        </w:tc>
        <w:tc>
          <w:tcPr>
            <w:tcW w:w="1440" w:type="dxa"/>
            <w:tcBorders>
              <w:top w:val="single" w:sz="4" w:space="0" w:color="auto"/>
              <w:left w:val="nil"/>
              <w:bottom w:val="single" w:sz="4" w:space="0" w:color="auto"/>
              <w:right w:val="single" w:sz="4" w:space="0" w:color="auto"/>
            </w:tcBorders>
          </w:tcPr>
          <w:p w14:paraId="6CC0F095" w14:textId="77777777" w:rsidR="00BC738B" w:rsidRPr="00953923" w:rsidRDefault="00BC738B" w:rsidP="002112CD">
            <w:pPr>
              <w:jc w:val="center"/>
              <w:rPr>
                <w:rFonts w:cs="Arial"/>
                <w:snapToGrid w:val="0"/>
              </w:rPr>
            </w:pPr>
          </w:p>
          <w:p w14:paraId="40DA7F89" w14:textId="77777777" w:rsidR="00BC738B" w:rsidRPr="00953923" w:rsidRDefault="00BC738B" w:rsidP="002112CD">
            <w:pPr>
              <w:jc w:val="center"/>
              <w:rPr>
                <w:rFonts w:cs="Arial"/>
                <w:snapToGrid w:val="0"/>
              </w:rPr>
            </w:pPr>
            <w:r w:rsidRPr="00953923">
              <w:rPr>
                <w:rFonts w:cs="Arial"/>
                <w:snapToGrid w:val="0"/>
              </w:rPr>
              <w:t>1 max.</w:t>
            </w:r>
          </w:p>
        </w:tc>
        <w:tc>
          <w:tcPr>
            <w:tcW w:w="1440" w:type="dxa"/>
            <w:tcBorders>
              <w:top w:val="single" w:sz="4" w:space="0" w:color="auto"/>
              <w:left w:val="nil"/>
              <w:bottom w:val="single" w:sz="4" w:space="0" w:color="auto"/>
              <w:right w:val="single" w:sz="4" w:space="0" w:color="auto"/>
            </w:tcBorders>
          </w:tcPr>
          <w:p w14:paraId="195B8AE8" w14:textId="77777777" w:rsidR="00BC738B" w:rsidRPr="00953923" w:rsidRDefault="00BC738B" w:rsidP="002112CD">
            <w:pPr>
              <w:jc w:val="center"/>
              <w:rPr>
                <w:rFonts w:cs="Arial"/>
                <w:snapToGrid w:val="0"/>
              </w:rPr>
            </w:pPr>
          </w:p>
          <w:p w14:paraId="67EC9B7A" w14:textId="77777777" w:rsidR="00BC738B" w:rsidRPr="00953923" w:rsidRDefault="00BC738B" w:rsidP="002112CD">
            <w:pPr>
              <w:jc w:val="center"/>
              <w:rPr>
                <w:rFonts w:cs="Arial"/>
                <w:snapToGrid w:val="0"/>
              </w:rPr>
            </w:pPr>
            <w:r w:rsidRPr="00953923">
              <w:rPr>
                <w:rFonts w:cs="Arial"/>
                <w:snapToGrid w:val="0"/>
              </w:rPr>
              <w:t>1 max.</w:t>
            </w:r>
          </w:p>
        </w:tc>
        <w:tc>
          <w:tcPr>
            <w:tcW w:w="1440" w:type="dxa"/>
            <w:tcBorders>
              <w:top w:val="single" w:sz="4" w:space="0" w:color="auto"/>
              <w:left w:val="nil"/>
              <w:bottom w:val="single" w:sz="4" w:space="0" w:color="auto"/>
              <w:right w:val="single" w:sz="4" w:space="0" w:color="auto"/>
            </w:tcBorders>
          </w:tcPr>
          <w:p w14:paraId="7B15962C" w14:textId="77777777" w:rsidR="00BC738B" w:rsidRPr="00953923" w:rsidRDefault="00BC738B" w:rsidP="002112CD">
            <w:pPr>
              <w:jc w:val="center"/>
              <w:rPr>
                <w:rFonts w:cs="Arial"/>
                <w:snapToGrid w:val="0"/>
              </w:rPr>
            </w:pPr>
          </w:p>
          <w:p w14:paraId="062F03AF" w14:textId="77777777" w:rsidR="00BC738B" w:rsidRPr="00953923" w:rsidRDefault="00BC738B" w:rsidP="002112CD">
            <w:pPr>
              <w:jc w:val="center"/>
              <w:rPr>
                <w:rFonts w:cs="Arial"/>
                <w:snapToGrid w:val="0"/>
              </w:rPr>
            </w:pPr>
            <w:r w:rsidRPr="00953923">
              <w:rPr>
                <w:rFonts w:cs="Arial"/>
                <w:snapToGrid w:val="0"/>
              </w:rPr>
              <w:t>1 max.</w:t>
            </w:r>
          </w:p>
        </w:tc>
      </w:tr>
      <w:tr w:rsidR="00BC738B" w:rsidRPr="00953923" w14:paraId="0E5DCCC9" w14:textId="77777777" w:rsidTr="001B2C23">
        <w:trPr>
          <w:cantSplit/>
        </w:trPr>
        <w:tc>
          <w:tcPr>
            <w:tcW w:w="4310" w:type="dxa"/>
            <w:tcBorders>
              <w:top w:val="single" w:sz="4" w:space="0" w:color="auto"/>
              <w:left w:val="single" w:sz="4" w:space="0" w:color="auto"/>
              <w:bottom w:val="single" w:sz="4" w:space="0" w:color="auto"/>
              <w:right w:val="single" w:sz="4" w:space="0" w:color="auto"/>
            </w:tcBorders>
          </w:tcPr>
          <w:p w14:paraId="0C0E3D92" w14:textId="77777777" w:rsidR="00BC738B" w:rsidRPr="00953923" w:rsidRDefault="00BC738B" w:rsidP="002112CD">
            <w:pPr>
              <w:ind w:left="72"/>
              <w:jc w:val="left"/>
              <w:rPr>
                <w:rFonts w:cs="Arial"/>
                <w:snapToGrid w:val="0"/>
              </w:rPr>
            </w:pPr>
            <w:r w:rsidRPr="00953923">
              <w:rPr>
                <w:rFonts w:cs="Arial"/>
                <w:snapToGrid w:val="0"/>
              </w:rPr>
              <w:t xml:space="preserve">Coating Test (All Grades), </w:t>
            </w:r>
          </w:p>
          <w:p w14:paraId="195CC875" w14:textId="77777777" w:rsidR="00BC738B" w:rsidRPr="00953923" w:rsidRDefault="00BC738B" w:rsidP="002112CD">
            <w:pPr>
              <w:ind w:left="180"/>
              <w:jc w:val="left"/>
              <w:rPr>
                <w:rFonts w:cs="Arial"/>
                <w:snapToGrid w:val="0"/>
              </w:rPr>
            </w:pPr>
            <w:r w:rsidRPr="00953923">
              <w:rPr>
                <w:rFonts w:cs="Arial"/>
                <w:snapToGrid w:val="0"/>
              </w:rPr>
              <w:t>(AASHTO T 59), 3 minutes</w:t>
            </w:r>
          </w:p>
        </w:tc>
        <w:tc>
          <w:tcPr>
            <w:tcW w:w="4320" w:type="dxa"/>
            <w:gridSpan w:val="3"/>
            <w:tcBorders>
              <w:top w:val="single" w:sz="4" w:space="0" w:color="auto"/>
              <w:left w:val="nil"/>
              <w:bottom w:val="single" w:sz="4" w:space="0" w:color="auto"/>
              <w:right w:val="single" w:sz="4" w:space="0" w:color="auto"/>
            </w:tcBorders>
          </w:tcPr>
          <w:p w14:paraId="1782EFBF" w14:textId="77777777" w:rsidR="00BC738B" w:rsidRPr="00953923" w:rsidRDefault="00BC738B" w:rsidP="002112CD">
            <w:pPr>
              <w:jc w:val="center"/>
              <w:rPr>
                <w:rFonts w:cs="Arial"/>
                <w:snapToGrid w:val="0"/>
              </w:rPr>
            </w:pPr>
          </w:p>
          <w:p w14:paraId="1534318E" w14:textId="77777777" w:rsidR="00BC738B" w:rsidRPr="00953923" w:rsidRDefault="00BC738B" w:rsidP="002112CD">
            <w:pPr>
              <w:jc w:val="center"/>
              <w:rPr>
                <w:rFonts w:cs="Arial"/>
                <w:snapToGrid w:val="0"/>
              </w:rPr>
            </w:pPr>
            <w:r w:rsidRPr="00953923">
              <w:rPr>
                <w:rFonts w:cs="Arial"/>
                <w:snapToGrid w:val="0"/>
              </w:rPr>
              <w:t>stone coated thoroughly</w:t>
            </w:r>
          </w:p>
        </w:tc>
      </w:tr>
      <w:tr w:rsidR="00BC738B" w:rsidRPr="00953923" w14:paraId="652462EC" w14:textId="77777777" w:rsidTr="005C0144">
        <w:trPr>
          <w:cantSplit/>
        </w:trPr>
        <w:tc>
          <w:tcPr>
            <w:tcW w:w="4310" w:type="dxa"/>
            <w:tcBorders>
              <w:top w:val="single" w:sz="4" w:space="0" w:color="auto"/>
              <w:left w:val="single" w:sz="4" w:space="0" w:color="auto"/>
              <w:right w:val="single" w:sz="4" w:space="0" w:color="auto"/>
            </w:tcBorders>
          </w:tcPr>
          <w:p w14:paraId="3F85F756" w14:textId="77777777" w:rsidR="00BC738B" w:rsidRPr="00953923" w:rsidRDefault="00BC738B" w:rsidP="002112CD">
            <w:pPr>
              <w:ind w:left="72"/>
              <w:jc w:val="left"/>
              <w:rPr>
                <w:rFonts w:cs="Arial"/>
                <w:snapToGrid w:val="0"/>
              </w:rPr>
            </w:pPr>
            <w:r w:rsidRPr="00953923">
              <w:rPr>
                <w:rFonts w:cs="Arial"/>
                <w:snapToGrid w:val="0"/>
              </w:rPr>
              <w:t>Distillation Test, (AASHTO T 59):</w:t>
            </w:r>
          </w:p>
        </w:tc>
        <w:tc>
          <w:tcPr>
            <w:tcW w:w="1440" w:type="dxa"/>
            <w:tcBorders>
              <w:top w:val="single" w:sz="4" w:space="0" w:color="auto"/>
              <w:left w:val="nil"/>
              <w:right w:val="single" w:sz="4" w:space="0" w:color="auto"/>
            </w:tcBorders>
          </w:tcPr>
          <w:p w14:paraId="116E808D" w14:textId="77777777" w:rsidR="00BC738B" w:rsidRPr="00953923" w:rsidRDefault="00BC738B" w:rsidP="002112CD">
            <w:pPr>
              <w:jc w:val="center"/>
              <w:rPr>
                <w:rFonts w:cs="Arial"/>
                <w:snapToGrid w:val="0"/>
              </w:rPr>
            </w:pPr>
          </w:p>
        </w:tc>
        <w:tc>
          <w:tcPr>
            <w:tcW w:w="1440" w:type="dxa"/>
            <w:tcBorders>
              <w:top w:val="single" w:sz="4" w:space="0" w:color="auto"/>
              <w:left w:val="nil"/>
              <w:right w:val="single" w:sz="4" w:space="0" w:color="auto"/>
            </w:tcBorders>
          </w:tcPr>
          <w:p w14:paraId="574660B0" w14:textId="77777777" w:rsidR="00BC738B" w:rsidRPr="00953923" w:rsidRDefault="00BC738B" w:rsidP="002112CD">
            <w:pPr>
              <w:jc w:val="center"/>
              <w:rPr>
                <w:rFonts w:cs="Arial"/>
                <w:snapToGrid w:val="0"/>
              </w:rPr>
            </w:pPr>
          </w:p>
        </w:tc>
        <w:tc>
          <w:tcPr>
            <w:tcW w:w="1440" w:type="dxa"/>
            <w:tcBorders>
              <w:top w:val="single" w:sz="4" w:space="0" w:color="auto"/>
              <w:left w:val="nil"/>
              <w:right w:val="single" w:sz="4" w:space="0" w:color="auto"/>
            </w:tcBorders>
          </w:tcPr>
          <w:p w14:paraId="41F81402" w14:textId="77777777" w:rsidR="00BC738B" w:rsidRPr="00953923" w:rsidRDefault="00BC738B" w:rsidP="002112CD">
            <w:pPr>
              <w:jc w:val="center"/>
              <w:rPr>
                <w:rFonts w:cs="Arial"/>
                <w:snapToGrid w:val="0"/>
              </w:rPr>
            </w:pPr>
          </w:p>
        </w:tc>
      </w:tr>
      <w:tr w:rsidR="00BC738B" w:rsidRPr="00953923" w14:paraId="309413FD" w14:textId="77777777" w:rsidTr="005C0144">
        <w:trPr>
          <w:cantSplit/>
        </w:trPr>
        <w:tc>
          <w:tcPr>
            <w:tcW w:w="4310" w:type="dxa"/>
            <w:tcBorders>
              <w:left w:val="single" w:sz="4" w:space="0" w:color="auto"/>
              <w:right w:val="single" w:sz="4" w:space="0" w:color="auto"/>
            </w:tcBorders>
          </w:tcPr>
          <w:p w14:paraId="3FF3DB8A" w14:textId="77777777" w:rsidR="00BC738B" w:rsidRPr="00953923" w:rsidRDefault="00BC738B" w:rsidP="002112CD">
            <w:pPr>
              <w:ind w:left="180"/>
              <w:jc w:val="left"/>
              <w:rPr>
                <w:rFonts w:cs="Arial"/>
                <w:snapToGrid w:val="0"/>
              </w:rPr>
            </w:pPr>
            <w:r w:rsidRPr="00953923">
              <w:rPr>
                <w:rFonts w:cs="Arial"/>
                <w:snapToGrid w:val="0"/>
              </w:rPr>
              <w:t xml:space="preserve">Residue from distillation test to </w:t>
            </w:r>
          </w:p>
          <w:p w14:paraId="093A14E1" w14:textId="77777777" w:rsidR="00BC738B" w:rsidRPr="00953923" w:rsidRDefault="00BC738B" w:rsidP="002112CD">
            <w:pPr>
              <w:ind w:left="270"/>
              <w:jc w:val="left"/>
              <w:rPr>
                <w:rFonts w:cs="Arial"/>
                <w:snapToGrid w:val="0"/>
              </w:rPr>
            </w:pPr>
            <w:r w:rsidRPr="00953923">
              <w:rPr>
                <w:rFonts w:cs="Arial"/>
                <w:snapToGrid w:val="0"/>
              </w:rPr>
              <w:t>500 °F (260 °C), %</w:t>
            </w:r>
          </w:p>
        </w:tc>
        <w:tc>
          <w:tcPr>
            <w:tcW w:w="1440" w:type="dxa"/>
            <w:tcBorders>
              <w:left w:val="nil"/>
              <w:right w:val="single" w:sz="4" w:space="0" w:color="auto"/>
            </w:tcBorders>
          </w:tcPr>
          <w:p w14:paraId="143FA3C1" w14:textId="77777777" w:rsidR="00BC738B" w:rsidRPr="00953923" w:rsidRDefault="00BC738B" w:rsidP="002112CD">
            <w:pPr>
              <w:jc w:val="center"/>
              <w:rPr>
                <w:rFonts w:cs="Arial"/>
                <w:snapToGrid w:val="0"/>
              </w:rPr>
            </w:pPr>
          </w:p>
          <w:p w14:paraId="6879D670" w14:textId="77777777" w:rsidR="00BC738B" w:rsidRPr="00953923" w:rsidRDefault="00BC738B" w:rsidP="002112CD">
            <w:pPr>
              <w:jc w:val="center"/>
              <w:rPr>
                <w:rFonts w:cs="Arial"/>
                <w:snapToGrid w:val="0"/>
              </w:rPr>
            </w:pPr>
            <w:r w:rsidRPr="00953923">
              <w:rPr>
                <w:rFonts w:cs="Arial"/>
                <w:snapToGrid w:val="0"/>
              </w:rPr>
              <w:t>65 min.</w:t>
            </w:r>
          </w:p>
        </w:tc>
        <w:tc>
          <w:tcPr>
            <w:tcW w:w="1440" w:type="dxa"/>
            <w:tcBorders>
              <w:left w:val="nil"/>
              <w:right w:val="single" w:sz="4" w:space="0" w:color="auto"/>
            </w:tcBorders>
          </w:tcPr>
          <w:p w14:paraId="252470CA" w14:textId="77777777" w:rsidR="00BC738B" w:rsidRPr="00953923" w:rsidRDefault="00BC738B" w:rsidP="002112CD">
            <w:pPr>
              <w:jc w:val="center"/>
              <w:rPr>
                <w:rFonts w:cs="Arial"/>
                <w:snapToGrid w:val="0"/>
              </w:rPr>
            </w:pPr>
          </w:p>
          <w:p w14:paraId="0207B0A8" w14:textId="77777777" w:rsidR="00BC738B" w:rsidRPr="00953923" w:rsidRDefault="00BC738B" w:rsidP="002112CD">
            <w:pPr>
              <w:jc w:val="center"/>
              <w:rPr>
                <w:rFonts w:cs="Arial"/>
                <w:snapToGrid w:val="0"/>
              </w:rPr>
            </w:pPr>
            <w:r w:rsidRPr="00953923">
              <w:rPr>
                <w:rFonts w:cs="Arial"/>
                <w:snapToGrid w:val="0"/>
              </w:rPr>
              <w:t>65 min.</w:t>
            </w:r>
          </w:p>
        </w:tc>
        <w:tc>
          <w:tcPr>
            <w:tcW w:w="1440" w:type="dxa"/>
            <w:tcBorders>
              <w:left w:val="nil"/>
              <w:right w:val="single" w:sz="4" w:space="0" w:color="auto"/>
            </w:tcBorders>
          </w:tcPr>
          <w:p w14:paraId="7C10C424" w14:textId="77777777" w:rsidR="00BC738B" w:rsidRPr="00953923" w:rsidRDefault="00BC738B" w:rsidP="002112CD">
            <w:pPr>
              <w:jc w:val="center"/>
              <w:rPr>
                <w:rFonts w:cs="Arial"/>
                <w:snapToGrid w:val="0"/>
              </w:rPr>
            </w:pPr>
          </w:p>
          <w:p w14:paraId="2A41923E" w14:textId="77777777" w:rsidR="00BC738B" w:rsidRPr="00953923" w:rsidRDefault="00BC738B" w:rsidP="002112CD">
            <w:pPr>
              <w:jc w:val="center"/>
              <w:rPr>
                <w:rFonts w:cs="Arial"/>
                <w:snapToGrid w:val="0"/>
              </w:rPr>
            </w:pPr>
            <w:r w:rsidRPr="00953923">
              <w:rPr>
                <w:rFonts w:cs="Arial"/>
                <w:snapToGrid w:val="0"/>
              </w:rPr>
              <w:t>65 min.</w:t>
            </w:r>
          </w:p>
        </w:tc>
      </w:tr>
      <w:tr w:rsidR="00BC738B" w:rsidRPr="00953923" w14:paraId="3C312E09" w14:textId="77777777" w:rsidTr="005C0144">
        <w:trPr>
          <w:cantSplit/>
        </w:trPr>
        <w:tc>
          <w:tcPr>
            <w:tcW w:w="4310" w:type="dxa"/>
            <w:tcBorders>
              <w:left w:val="single" w:sz="4" w:space="0" w:color="auto"/>
              <w:bottom w:val="single" w:sz="4" w:space="0" w:color="auto"/>
              <w:right w:val="single" w:sz="4" w:space="0" w:color="auto"/>
            </w:tcBorders>
          </w:tcPr>
          <w:p w14:paraId="3BCFA4FB" w14:textId="77777777" w:rsidR="00BC738B" w:rsidRPr="00953923" w:rsidRDefault="00BC738B" w:rsidP="002112CD">
            <w:pPr>
              <w:ind w:left="180"/>
              <w:jc w:val="left"/>
              <w:rPr>
                <w:rFonts w:cs="Arial"/>
                <w:snapToGrid w:val="0"/>
              </w:rPr>
            </w:pPr>
            <w:r w:rsidRPr="00953923">
              <w:rPr>
                <w:rFonts w:cs="Arial"/>
                <w:snapToGrid w:val="0"/>
              </w:rPr>
              <w:t>Oil distillate by volume, %</w:t>
            </w:r>
          </w:p>
        </w:tc>
        <w:tc>
          <w:tcPr>
            <w:tcW w:w="1440" w:type="dxa"/>
            <w:tcBorders>
              <w:left w:val="nil"/>
              <w:bottom w:val="single" w:sz="4" w:space="0" w:color="auto"/>
              <w:right w:val="single" w:sz="4" w:space="0" w:color="auto"/>
            </w:tcBorders>
          </w:tcPr>
          <w:p w14:paraId="27F90362" w14:textId="77777777" w:rsidR="00BC738B" w:rsidRPr="00953923" w:rsidRDefault="00BC738B" w:rsidP="002112CD">
            <w:pPr>
              <w:jc w:val="center"/>
              <w:rPr>
                <w:rFonts w:cs="Arial"/>
                <w:snapToGrid w:val="0"/>
              </w:rPr>
            </w:pPr>
            <w:r w:rsidRPr="00953923">
              <w:rPr>
                <w:rFonts w:cs="Arial"/>
                <w:snapToGrid w:val="0"/>
              </w:rPr>
              <w:t>7 max.</w:t>
            </w:r>
          </w:p>
        </w:tc>
        <w:tc>
          <w:tcPr>
            <w:tcW w:w="1440" w:type="dxa"/>
            <w:tcBorders>
              <w:left w:val="nil"/>
              <w:bottom w:val="single" w:sz="4" w:space="0" w:color="auto"/>
              <w:right w:val="single" w:sz="4" w:space="0" w:color="auto"/>
            </w:tcBorders>
          </w:tcPr>
          <w:p w14:paraId="1703840C" w14:textId="77777777" w:rsidR="00BC738B" w:rsidRPr="00953923" w:rsidRDefault="00BC738B" w:rsidP="002112CD">
            <w:pPr>
              <w:jc w:val="center"/>
              <w:rPr>
                <w:rFonts w:cs="Arial"/>
                <w:snapToGrid w:val="0"/>
              </w:rPr>
            </w:pPr>
            <w:r w:rsidRPr="00953923">
              <w:rPr>
                <w:rFonts w:cs="Arial"/>
                <w:snapToGrid w:val="0"/>
              </w:rPr>
              <w:t>7 max.</w:t>
            </w:r>
          </w:p>
        </w:tc>
        <w:tc>
          <w:tcPr>
            <w:tcW w:w="1440" w:type="dxa"/>
            <w:tcBorders>
              <w:left w:val="nil"/>
              <w:bottom w:val="single" w:sz="4" w:space="0" w:color="auto"/>
              <w:right w:val="single" w:sz="4" w:space="0" w:color="auto"/>
            </w:tcBorders>
          </w:tcPr>
          <w:p w14:paraId="7CED71BC" w14:textId="77777777" w:rsidR="00BC738B" w:rsidRPr="00953923" w:rsidRDefault="00BC738B" w:rsidP="002112CD">
            <w:pPr>
              <w:jc w:val="center"/>
              <w:rPr>
                <w:rFonts w:cs="Arial"/>
                <w:snapToGrid w:val="0"/>
              </w:rPr>
            </w:pPr>
            <w:r w:rsidRPr="00953923">
              <w:rPr>
                <w:rFonts w:cs="Arial"/>
                <w:snapToGrid w:val="0"/>
              </w:rPr>
              <w:t>7 max.</w:t>
            </w:r>
          </w:p>
        </w:tc>
      </w:tr>
      <w:tr w:rsidR="00BC738B" w:rsidRPr="00953923" w14:paraId="1A4EC26E" w14:textId="77777777" w:rsidTr="005C0144">
        <w:trPr>
          <w:trHeight w:val="467"/>
        </w:trPr>
        <w:tc>
          <w:tcPr>
            <w:tcW w:w="4310" w:type="dxa"/>
            <w:tcBorders>
              <w:top w:val="single" w:sz="4" w:space="0" w:color="auto"/>
              <w:left w:val="single" w:sz="4" w:space="0" w:color="auto"/>
              <w:bottom w:val="single" w:sz="4" w:space="0" w:color="auto"/>
              <w:right w:val="single" w:sz="4" w:space="0" w:color="auto"/>
            </w:tcBorders>
          </w:tcPr>
          <w:p w14:paraId="45BFE91C" w14:textId="6710FD99" w:rsidR="00BC738B" w:rsidRPr="00953923" w:rsidRDefault="00BC738B" w:rsidP="002112CD">
            <w:pPr>
              <w:ind w:left="180" w:hanging="108"/>
              <w:jc w:val="left"/>
              <w:rPr>
                <w:rFonts w:cs="Arial"/>
                <w:snapToGrid w:val="0"/>
              </w:rPr>
            </w:pPr>
            <w:r w:rsidRPr="00953923">
              <w:rPr>
                <w:rFonts w:cs="Arial"/>
                <w:snapToGrid w:val="0"/>
              </w:rPr>
              <w:lastRenderedPageBreak/>
              <w:t>Characteristics of residue from distillation test to 500 °F (260 °C):  Penetration at 77 °F (25 °C), (AASHTO T 49), 100</w:t>
            </w:r>
            <w:r w:rsidR="00D71649">
              <w:rPr>
                <w:rFonts w:cs="Arial"/>
                <w:snapToGrid w:val="0"/>
              </w:rPr>
              <w:t> </w:t>
            </w:r>
            <w:r w:rsidRPr="00953923">
              <w:rPr>
                <w:rFonts w:cs="Arial"/>
                <w:snapToGrid w:val="0"/>
              </w:rPr>
              <w:t xml:space="preserve">g, 5 sec, </w:t>
            </w:r>
            <w:proofErr w:type="spellStart"/>
            <w:r w:rsidRPr="00953923">
              <w:rPr>
                <w:rFonts w:cs="Arial"/>
                <w:snapToGrid w:val="0"/>
              </w:rPr>
              <w:t>dmm</w:t>
            </w:r>
            <w:proofErr w:type="spellEnd"/>
          </w:p>
        </w:tc>
        <w:tc>
          <w:tcPr>
            <w:tcW w:w="1440" w:type="dxa"/>
            <w:tcBorders>
              <w:top w:val="single" w:sz="4" w:space="0" w:color="auto"/>
              <w:left w:val="nil"/>
              <w:bottom w:val="single" w:sz="4" w:space="0" w:color="auto"/>
              <w:right w:val="single" w:sz="4" w:space="0" w:color="auto"/>
            </w:tcBorders>
            <w:vAlign w:val="bottom"/>
          </w:tcPr>
          <w:p w14:paraId="6E5EA8D7" w14:textId="77777777" w:rsidR="00BC738B" w:rsidRPr="00953923" w:rsidRDefault="00BC738B" w:rsidP="002112CD">
            <w:pPr>
              <w:jc w:val="center"/>
              <w:rPr>
                <w:rFonts w:cs="Arial"/>
                <w:snapToGrid w:val="0"/>
              </w:rPr>
            </w:pPr>
            <w:r w:rsidRPr="00953923">
              <w:rPr>
                <w:rFonts w:cs="Arial"/>
                <w:snapToGrid w:val="0"/>
              </w:rPr>
              <w:t>90-150</w:t>
            </w:r>
          </w:p>
        </w:tc>
        <w:tc>
          <w:tcPr>
            <w:tcW w:w="1440" w:type="dxa"/>
            <w:tcBorders>
              <w:top w:val="single" w:sz="4" w:space="0" w:color="auto"/>
              <w:left w:val="nil"/>
              <w:bottom w:val="single" w:sz="4" w:space="0" w:color="auto"/>
              <w:right w:val="single" w:sz="4" w:space="0" w:color="auto"/>
            </w:tcBorders>
            <w:vAlign w:val="bottom"/>
          </w:tcPr>
          <w:p w14:paraId="40803FDC" w14:textId="77777777" w:rsidR="00BC738B" w:rsidRPr="00953923" w:rsidRDefault="00BC738B" w:rsidP="002112CD">
            <w:pPr>
              <w:jc w:val="center"/>
              <w:rPr>
                <w:rFonts w:cs="Arial"/>
                <w:snapToGrid w:val="0"/>
              </w:rPr>
            </w:pPr>
            <w:r w:rsidRPr="00953923">
              <w:rPr>
                <w:rFonts w:cs="Arial"/>
                <w:snapToGrid w:val="0"/>
              </w:rPr>
              <w:t>150-300</w:t>
            </w:r>
          </w:p>
        </w:tc>
        <w:tc>
          <w:tcPr>
            <w:tcW w:w="1440" w:type="dxa"/>
            <w:tcBorders>
              <w:top w:val="single" w:sz="4" w:space="0" w:color="auto"/>
              <w:left w:val="nil"/>
              <w:bottom w:val="single" w:sz="4" w:space="0" w:color="auto"/>
              <w:right w:val="single" w:sz="4" w:space="0" w:color="auto"/>
            </w:tcBorders>
            <w:vAlign w:val="bottom"/>
          </w:tcPr>
          <w:p w14:paraId="131EA93A" w14:textId="77777777" w:rsidR="00BC738B" w:rsidRPr="00953923" w:rsidRDefault="00BC738B" w:rsidP="002112CD">
            <w:pPr>
              <w:jc w:val="center"/>
              <w:rPr>
                <w:rFonts w:cs="Arial"/>
                <w:snapToGrid w:val="0"/>
              </w:rPr>
            </w:pPr>
            <w:r w:rsidRPr="00953923">
              <w:rPr>
                <w:rFonts w:cs="Arial"/>
                <w:snapToGrid w:val="0"/>
              </w:rPr>
              <w:t>300 min.</w:t>
            </w:r>
          </w:p>
        </w:tc>
      </w:tr>
      <w:tr w:rsidR="00BC738B" w:rsidRPr="00953923" w14:paraId="5A4F2851" w14:textId="77777777" w:rsidTr="005C0144">
        <w:trPr>
          <w:cantSplit/>
        </w:trPr>
        <w:tc>
          <w:tcPr>
            <w:tcW w:w="4310" w:type="dxa"/>
            <w:tcBorders>
              <w:top w:val="single" w:sz="4" w:space="0" w:color="auto"/>
              <w:left w:val="single" w:sz="4" w:space="0" w:color="auto"/>
              <w:bottom w:val="single" w:sz="4" w:space="0" w:color="auto"/>
              <w:right w:val="single" w:sz="4" w:space="0" w:color="auto"/>
            </w:tcBorders>
          </w:tcPr>
          <w:p w14:paraId="5A85BDD1" w14:textId="77777777" w:rsidR="00BC738B" w:rsidRPr="00953923" w:rsidRDefault="00BC738B" w:rsidP="002112CD">
            <w:pPr>
              <w:ind w:left="180" w:hanging="108"/>
              <w:jc w:val="left"/>
              <w:rPr>
                <w:rFonts w:cs="Arial"/>
                <w:snapToGrid w:val="0"/>
              </w:rPr>
            </w:pPr>
            <w:r w:rsidRPr="00953923">
              <w:rPr>
                <w:rFonts w:cs="Arial"/>
                <w:snapToGrid w:val="0"/>
              </w:rPr>
              <w:t>Float Test at 140 °F (60 °C),</w:t>
            </w:r>
          </w:p>
          <w:p w14:paraId="57CFDC2E" w14:textId="77777777" w:rsidR="00BC738B" w:rsidRPr="00953923" w:rsidRDefault="00BC738B" w:rsidP="002112CD">
            <w:pPr>
              <w:ind w:left="180"/>
              <w:jc w:val="left"/>
              <w:rPr>
                <w:rFonts w:cs="Arial"/>
                <w:snapToGrid w:val="0"/>
              </w:rPr>
            </w:pPr>
            <w:r w:rsidRPr="00953923">
              <w:rPr>
                <w:rFonts w:cs="Arial"/>
                <w:snapToGrid w:val="0"/>
              </w:rPr>
              <w:t>(AASHTO T 50), sec.</w:t>
            </w:r>
          </w:p>
        </w:tc>
        <w:tc>
          <w:tcPr>
            <w:tcW w:w="1440" w:type="dxa"/>
            <w:tcBorders>
              <w:top w:val="single" w:sz="4" w:space="0" w:color="auto"/>
              <w:left w:val="nil"/>
              <w:bottom w:val="single" w:sz="4" w:space="0" w:color="auto"/>
              <w:right w:val="single" w:sz="4" w:space="0" w:color="auto"/>
            </w:tcBorders>
            <w:vAlign w:val="bottom"/>
          </w:tcPr>
          <w:p w14:paraId="5C3EC812" w14:textId="77777777" w:rsidR="00BC738B" w:rsidRPr="00953923" w:rsidRDefault="00BC738B" w:rsidP="002112CD">
            <w:pPr>
              <w:jc w:val="center"/>
              <w:rPr>
                <w:rFonts w:cs="Arial"/>
                <w:snapToGrid w:val="0"/>
              </w:rPr>
            </w:pPr>
            <w:r w:rsidRPr="00953923">
              <w:rPr>
                <w:rFonts w:cs="Arial"/>
                <w:snapToGrid w:val="0"/>
              </w:rPr>
              <w:t>1200 min.</w:t>
            </w:r>
          </w:p>
        </w:tc>
        <w:tc>
          <w:tcPr>
            <w:tcW w:w="1440" w:type="dxa"/>
            <w:tcBorders>
              <w:top w:val="single" w:sz="4" w:space="0" w:color="auto"/>
              <w:left w:val="nil"/>
              <w:bottom w:val="single" w:sz="4" w:space="0" w:color="auto"/>
              <w:right w:val="single" w:sz="4" w:space="0" w:color="auto"/>
            </w:tcBorders>
            <w:vAlign w:val="bottom"/>
          </w:tcPr>
          <w:p w14:paraId="6F8E41F0" w14:textId="77777777" w:rsidR="00BC738B" w:rsidRPr="00953923" w:rsidRDefault="00BC738B" w:rsidP="002112CD">
            <w:pPr>
              <w:jc w:val="center"/>
              <w:rPr>
                <w:rFonts w:cs="Arial"/>
                <w:snapToGrid w:val="0"/>
              </w:rPr>
            </w:pPr>
            <w:r w:rsidRPr="00953923">
              <w:rPr>
                <w:rFonts w:cs="Arial"/>
                <w:snapToGrid w:val="0"/>
              </w:rPr>
              <w:t>1200 min.</w:t>
            </w:r>
          </w:p>
        </w:tc>
        <w:tc>
          <w:tcPr>
            <w:tcW w:w="1440" w:type="dxa"/>
            <w:tcBorders>
              <w:top w:val="single" w:sz="4" w:space="0" w:color="auto"/>
              <w:left w:val="nil"/>
              <w:bottom w:val="single" w:sz="4" w:space="0" w:color="auto"/>
              <w:right w:val="single" w:sz="4" w:space="0" w:color="auto"/>
            </w:tcBorders>
            <w:vAlign w:val="bottom"/>
          </w:tcPr>
          <w:p w14:paraId="3F848781" w14:textId="77777777" w:rsidR="00BC738B" w:rsidRPr="00953923" w:rsidRDefault="00BC738B" w:rsidP="002112CD">
            <w:pPr>
              <w:jc w:val="center"/>
              <w:rPr>
                <w:rFonts w:cs="Arial"/>
                <w:snapToGrid w:val="0"/>
              </w:rPr>
            </w:pPr>
            <w:r w:rsidRPr="00953923">
              <w:rPr>
                <w:rFonts w:cs="Arial"/>
                <w:snapToGrid w:val="0"/>
              </w:rPr>
              <w:t>1200 min.</w:t>
            </w:r>
          </w:p>
        </w:tc>
      </w:tr>
    </w:tbl>
    <w:p w14:paraId="29CA9E11" w14:textId="77777777" w:rsidR="00BC738B" w:rsidRPr="00953923" w:rsidRDefault="00BC738B" w:rsidP="00BC738B">
      <w:pPr>
        <w:ind w:left="1080"/>
        <w:rPr>
          <w:rFonts w:cs="Arial"/>
          <w:snapToGrid w:val="0"/>
        </w:rPr>
      </w:pPr>
    </w:p>
    <w:p w14:paraId="5D1EC891" w14:textId="77777777" w:rsidR="00BC738B" w:rsidRPr="00953923" w:rsidRDefault="00BC738B" w:rsidP="00BC738B">
      <w:pPr>
        <w:tabs>
          <w:tab w:val="left" w:pos="1080"/>
        </w:tabs>
        <w:ind w:left="1080"/>
        <w:rPr>
          <w:rFonts w:cs="Arial"/>
          <w:snapToGrid w:val="0"/>
        </w:rPr>
      </w:pPr>
      <w:r w:rsidRPr="00953923">
        <w:rPr>
          <w:rFonts w:cs="Arial"/>
          <w:snapToGrid w:val="0"/>
        </w:rPr>
        <w:t>1/</w:t>
      </w:r>
      <w:r w:rsidRPr="00953923">
        <w:rPr>
          <w:rFonts w:cs="Arial"/>
          <w:snapToGrid w:val="0"/>
        </w:rPr>
        <w:tab/>
        <w:t>The emulsion shall be pumpable.</w:t>
      </w:r>
    </w:p>
    <w:p w14:paraId="5EC2FB45" w14:textId="77777777" w:rsidR="00BC738B" w:rsidRPr="00953923" w:rsidRDefault="00BC738B" w:rsidP="00BC738B">
      <w:pPr>
        <w:tabs>
          <w:tab w:val="left" w:pos="1080"/>
        </w:tabs>
        <w:ind w:left="1080"/>
        <w:rPr>
          <w:rFonts w:cs="Arial"/>
          <w:snapToGrid w:val="0"/>
        </w:rPr>
      </w:pPr>
    </w:p>
    <w:p w14:paraId="792E7B8D" w14:textId="4C58D7A2" w:rsidR="00BC738B" w:rsidRPr="00953923" w:rsidRDefault="00BC738B" w:rsidP="00BC738B">
      <w:pPr>
        <w:ind w:left="720" w:hanging="360"/>
        <w:rPr>
          <w:rFonts w:cs="Arial"/>
          <w:snapToGrid w:val="0"/>
        </w:rPr>
      </w:pPr>
      <w:r w:rsidRPr="00953923">
        <w:rPr>
          <w:rFonts w:cs="Arial"/>
          <w:snapToGrid w:val="0"/>
        </w:rPr>
        <w:t>(d)</w:t>
      </w:r>
      <w:r w:rsidRPr="00953923">
        <w:rPr>
          <w:rFonts w:cs="Arial"/>
          <w:snapToGrid w:val="0"/>
        </w:rPr>
        <w:tab/>
        <w:t>Penetrating Emulsified Prime</w:t>
      </w:r>
      <w:r w:rsidR="00330BE1">
        <w:rPr>
          <w:rFonts w:cs="Arial"/>
          <w:snapToGrid w:val="0"/>
        </w:rPr>
        <w:t>.  Penetrating Emulsified Prime</w:t>
      </w:r>
      <w:r w:rsidRPr="00953923">
        <w:rPr>
          <w:rFonts w:cs="Arial"/>
          <w:snapToGrid w:val="0"/>
        </w:rPr>
        <w:t xml:space="preserve"> </w:t>
      </w:r>
      <w:r w:rsidR="00F7009A">
        <w:rPr>
          <w:rFonts w:cs="Arial"/>
          <w:snapToGrid w:val="0"/>
        </w:rPr>
        <w:t>(</w:t>
      </w:r>
      <w:r w:rsidRPr="00953923">
        <w:rPr>
          <w:rFonts w:cs="Arial"/>
          <w:snapToGrid w:val="0"/>
        </w:rPr>
        <w:t>PEP</w:t>
      </w:r>
      <w:r w:rsidR="00F7009A">
        <w:rPr>
          <w:rFonts w:cs="Arial"/>
          <w:snapToGrid w:val="0"/>
        </w:rPr>
        <w:t>)</w:t>
      </w:r>
      <w:r w:rsidRPr="00953923">
        <w:rPr>
          <w:rFonts w:cs="Arial"/>
          <w:snapToGrid w:val="0"/>
        </w:rPr>
        <w:t xml:space="preserve"> shall be according to AASHTO T 59</w:t>
      </w:r>
      <w:r w:rsidR="00330BE1">
        <w:rPr>
          <w:rFonts w:cs="Arial"/>
          <w:snapToGrid w:val="0"/>
        </w:rPr>
        <w:t>, except as follows</w:t>
      </w:r>
      <w:r w:rsidRPr="00953923">
        <w:rPr>
          <w:rFonts w:cs="Arial"/>
          <w:snapToGrid w:val="0"/>
        </w:rPr>
        <w:t>.</w:t>
      </w:r>
    </w:p>
    <w:p w14:paraId="0746C93C" w14:textId="77777777" w:rsidR="00BC738B" w:rsidRPr="00953923" w:rsidRDefault="00BC738B" w:rsidP="00BC738B">
      <w:pPr>
        <w:ind w:left="720"/>
        <w:rPr>
          <w:rFonts w:cs="Arial"/>
          <w:snapToGrid w:val="0"/>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700"/>
      </w:tblGrid>
      <w:tr w:rsidR="00BC738B" w:rsidRPr="00953923" w14:paraId="64E3CC27" w14:textId="77777777" w:rsidTr="001B2C23">
        <w:tc>
          <w:tcPr>
            <w:tcW w:w="5940" w:type="dxa"/>
          </w:tcPr>
          <w:p w14:paraId="41A2C3C3" w14:textId="77777777" w:rsidR="00BC738B" w:rsidRPr="00953923" w:rsidRDefault="00BC738B" w:rsidP="002112CD">
            <w:pPr>
              <w:spacing w:before="60" w:after="60"/>
              <w:jc w:val="center"/>
              <w:rPr>
                <w:rFonts w:cs="Arial"/>
                <w:snapToGrid w:val="0"/>
              </w:rPr>
            </w:pPr>
            <w:r w:rsidRPr="00953923">
              <w:rPr>
                <w:rFonts w:cs="Arial"/>
                <w:snapToGrid w:val="0"/>
              </w:rPr>
              <w:t>Test</w:t>
            </w:r>
          </w:p>
        </w:tc>
        <w:tc>
          <w:tcPr>
            <w:tcW w:w="2700" w:type="dxa"/>
          </w:tcPr>
          <w:p w14:paraId="1C3CD5D3" w14:textId="77777777" w:rsidR="00BC738B" w:rsidRPr="00953923" w:rsidRDefault="00BC738B" w:rsidP="002112CD">
            <w:pPr>
              <w:spacing w:before="60" w:after="60"/>
              <w:jc w:val="center"/>
              <w:rPr>
                <w:rFonts w:cs="Arial"/>
                <w:snapToGrid w:val="0"/>
              </w:rPr>
            </w:pPr>
            <w:r w:rsidRPr="00953923">
              <w:rPr>
                <w:rFonts w:cs="Arial"/>
                <w:snapToGrid w:val="0"/>
              </w:rPr>
              <w:t>Result</w:t>
            </w:r>
          </w:p>
        </w:tc>
      </w:tr>
      <w:tr w:rsidR="00BC738B" w:rsidRPr="00953923" w14:paraId="305526F8" w14:textId="77777777" w:rsidTr="001B2C23">
        <w:tc>
          <w:tcPr>
            <w:tcW w:w="5940" w:type="dxa"/>
          </w:tcPr>
          <w:p w14:paraId="121BDF78" w14:textId="77777777" w:rsidR="00BC738B" w:rsidRPr="00953923" w:rsidRDefault="00BC738B" w:rsidP="002112CD">
            <w:pPr>
              <w:jc w:val="left"/>
              <w:rPr>
                <w:rFonts w:cs="Arial"/>
                <w:snapToGrid w:val="0"/>
              </w:rPr>
            </w:pPr>
            <w:r w:rsidRPr="00953923">
              <w:rPr>
                <w:rFonts w:cs="Arial"/>
                <w:snapToGrid w:val="0"/>
              </w:rPr>
              <w:t xml:space="preserve">Viscosity, </w:t>
            </w:r>
            <w:proofErr w:type="spellStart"/>
            <w:r w:rsidRPr="00953923">
              <w:rPr>
                <w:rFonts w:cs="Arial"/>
                <w:snapToGrid w:val="0"/>
              </w:rPr>
              <w:t>Saybolt</w:t>
            </w:r>
            <w:proofErr w:type="spellEnd"/>
            <w:r w:rsidRPr="00953923">
              <w:rPr>
                <w:rFonts w:cs="Arial"/>
                <w:snapToGrid w:val="0"/>
              </w:rPr>
              <w:t xml:space="preserve"> </w:t>
            </w:r>
            <w:proofErr w:type="spellStart"/>
            <w:r w:rsidRPr="00953923">
              <w:rPr>
                <w:rFonts w:cs="Arial"/>
                <w:snapToGrid w:val="0"/>
              </w:rPr>
              <w:t>Furol</w:t>
            </w:r>
            <w:proofErr w:type="spellEnd"/>
            <w:r w:rsidRPr="00953923">
              <w:rPr>
                <w:rFonts w:cs="Arial"/>
                <w:snapToGrid w:val="0"/>
              </w:rPr>
              <w:t>, at 77 °F (25 °C), SFS</w:t>
            </w:r>
          </w:p>
        </w:tc>
        <w:tc>
          <w:tcPr>
            <w:tcW w:w="2700" w:type="dxa"/>
          </w:tcPr>
          <w:p w14:paraId="5258B644" w14:textId="77777777" w:rsidR="00BC738B" w:rsidRPr="00953923" w:rsidRDefault="00BC738B" w:rsidP="002112CD">
            <w:pPr>
              <w:jc w:val="center"/>
              <w:rPr>
                <w:rFonts w:cs="Arial"/>
                <w:snapToGrid w:val="0"/>
              </w:rPr>
            </w:pPr>
            <w:r w:rsidRPr="00953923">
              <w:rPr>
                <w:rFonts w:cs="Arial"/>
                <w:snapToGrid w:val="0"/>
              </w:rPr>
              <w:t>75 max.</w:t>
            </w:r>
          </w:p>
        </w:tc>
      </w:tr>
      <w:tr w:rsidR="00BC738B" w:rsidRPr="00953923" w14:paraId="78D20A0E" w14:textId="77777777" w:rsidTr="001B2C23">
        <w:tc>
          <w:tcPr>
            <w:tcW w:w="5940" w:type="dxa"/>
          </w:tcPr>
          <w:p w14:paraId="4DC4D0E2" w14:textId="77777777" w:rsidR="00BC738B" w:rsidRPr="00953923" w:rsidRDefault="00BC738B" w:rsidP="002112CD">
            <w:pPr>
              <w:jc w:val="left"/>
              <w:rPr>
                <w:rFonts w:cs="Arial"/>
                <w:snapToGrid w:val="0"/>
              </w:rPr>
            </w:pPr>
            <w:r w:rsidRPr="00953923">
              <w:rPr>
                <w:rFonts w:cs="Arial"/>
                <w:snapToGrid w:val="0"/>
              </w:rPr>
              <w:t>Sieve test, retained on No. 20 (850 µm) sieve, %</w:t>
            </w:r>
          </w:p>
        </w:tc>
        <w:tc>
          <w:tcPr>
            <w:tcW w:w="2700" w:type="dxa"/>
          </w:tcPr>
          <w:p w14:paraId="128E514F" w14:textId="77777777" w:rsidR="00BC738B" w:rsidRPr="00953923" w:rsidRDefault="00BC738B" w:rsidP="002112CD">
            <w:pPr>
              <w:jc w:val="center"/>
              <w:rPr>
                <w:rFonts w:cs="Arial"/>
                <w:snapToGrid w:val="0"/>
              </w:rPr>
            </w:pPr>
            <w:r w:rsidRPr="00953923">
              <w:rPr>
                <w:rFonts w:cs="Arial"/>
                <w:snapToGrid w:val="0"/>
              </w:rPr>
              <w:t>0.10 max.</w:t>
            </w:r>
          </w:p>
        </w:tc>
      </w:tr>
      <w:tr w:rsidR="00BC738B" w:rsidRPr="00953923" w14:paraId="509DEA51" w14:textId="77777777" w:rsidTr="001B2C23">
        <w:tc>
          <w:tcPr>
            <w:tcW w:w="5940" w:type="dxa"/>
          </w:tcPr>
          <w:p w14:paraId="2CD8AA6E" w14:textId="77777777" w:rsidR="00BC738B" w:rsidRPr="00953923" w:rsidRDefault="00BC738B" w:rsidP="002112CD">
            <w:pPr>
              <w:jc w:val="left"/>
              <w:rPr>
                <w:rFonts w:cs="Arial"/>
                <w:snapToGrid w:val="0"/>
              </w:rPr>
            </w:pPr>
            <w:r w:rsidRPr="00953923">
              <w:rPr>
                <w:rFonts w:cs="Arial"/>
                <w:snapToGrid w:val="0"/>
              </w:rPr>
              <w:t>Distillation to 500 °F (260 °C) residue, %</w:t>
            </w:r>
          </w:p>
        </w:tc>
        <w:tc>
          <w:tcPr>
            <w:tcW w:w="2700" w:type="dxa"/>
          </w:tcPr>
          <w:p w14:paraId="0F0F14CE" w14:textId="77777777" w:rsidR="00BC738B" w:rsidRPr="00953923" w:rsidRDefault="00BC738B" w:rsidP="002112CD">
            <w:pPr>
              <w:jc w:val="center"/>
              <w:rPr>
                <w:rFonts w:cs="Arial"/>
                <w:snapToGrid w:val="0"/>
              </w:rPr>
            </w:pPr>
            <w:r w:rsidRPr="00953923">
              <w:rPr>
                <w:rFonts w:cs="Arial"/>
                <w:snapToGrid w:val="0"/>
              </w:rPr>
              <w:t>38 min.</w:t>
            </w:r>
          </w:p>
        </w:tc>
      </w:tr>
      <w:tr w:rsidR="00BC738B" w:rsidRPr="00953923" w14:paraId="0D38914E" w14:textId="77777777" w:rsidTr="001B2C23">
        <w:tc>
          <w:tcPr>
            <w:tcW w:w="5940" w:type="dxa"/>
          </w:tcPr>
          <w:p w14:paraId="55330A34" w14:textId="77777777" w:rsidR="00BC738B" w:rsidRPr="00953923" w:rsidRDefault="00BC738B" w:rsidP="002112CD">
            <w:pPr>
              <w:jc w:val="left"/>
              <w:rPr>
                <w:rFonts w:cs="Arial"/>
                <w:snapToGrid w:val="0"/>
              </w:rPr>
            </w:pPr>
            <w:r w:rsidRPr="00953923">
              <w:rPr>
                <w:rFonts w:cs="Arial"/>
                <w:snapToGrid w:val="0"/>
              </w:rPr>
              <w:t>Oil distillate by volume, %</w:t>
            </w:r>
          </w:p>
        </w:tc>
        <w:tc>
          <w:tcPr>
            <w:tcW w:w="2700" w:type="dxa"/>
          </w:tcPr>
          <w:p w14:paraId="221B527F" w14:textId="77777777" w:rsidR="00BC738B" w:rsidRPr="00953923" w:rsidRDefault="00BC738B" w:rsidP="002112CD">
            <w:pPr>
              <w:jc w:val="center"/>
              <w:rPr>
                <w:rFonts w:cs="Arial"/>
                <w:snapToGrid w:val="0"/>
              </w:rPr>
            </w:pPr>
            <w:r w:rsidRPr="00953923">
              <w:rPr>
                <w:rFonts w:cs="Arial"/>
                <w:snapToGrid w:val="0"/>
              </w:rPr>
              <w:t>4 max.</w:t>
            </w:r>
          </w:p>
        </w:tc>
      </w:tr>
    </w:tbl>
    <w:p w14:paraId="4E2B1588" w14:textId="77777777" w:rsidR="00BC738B" w:rsidRPr="00953923" w:rsidRDefault="00BC738B" w:rsidP="00BC738B">
      <w:pPr>
        <w:ind w:left="720"/>
        <w:rPr>
          <w:rFonts w:cs="Arial"/>
          <w:snapToGrid w:val="0"/>
        </w:rPr>
      </w:pPr>
    </w:p>
    <w:p w14:paraId="65E5E516" w14:textId="79078EBD" w:rsidR="00BC738B" w:rsidRPr="00953923" w:rsidRDefault="00BC738B" w:rsidP="00BC738B">
      <w:pPr>
        <w:ind w:left="720"/>
        <w:rPr>
          <w:rFonts w:cs="Arial"/>
          <w:snapToGrid w:val="0"/>
        </w:rPr>
      </w:pPr>
      <w:r w:rsidRPr="00953923">
        <w:rPr>
          <w:rFonts w:cs="Arial"/>
          <w:snapToGrid w:val="0"/>
        </w:rPr>
        <w:t xml:space="preserve">The PEP shall be tested according to the current Bureau of Materials </w:t>
      </w:r>
      <w:r w:rsidR="00F7009A" w:rsidRPr="00953923">
        <w:rPr>
          <w:rFonts w:cs="Arial"/>
          <w:snapToGrid w:val="0"/>
        </w:rPr>
        <w:t>I</w:t>
      </w:r>
      <w:r w:rsidR="00F7009A">
        <w:rPr>
          <w:rFonts w:cs="Arial"/>
          <w:snapToGrid w:val="0"/>
        </w:rPr>
        <w:t>llinois Laboratory Test Procedure (IL</w:t>
      </w:r>
      <w:r w:rsidR="00F7009A" w:rsidRPr="00953923">
        <w:rPr>
          <w:rFonts w:cs="Arial"/>
          <w:snapToGrid w:val="0"/>
        </w:rPr>
        <w:t>TP</w:t>
      </w:r>
      <w:r w:rsidR="00F7009A">
        <w:rPr>
          <w:rFonts w:cs="Arial"/>
          <w:snapToGrid w:val="0"/>
        </w:rPr>
        <w:t>)</w:t>
      </w:r>
      <w:r w:rsidR="00F7009A" w:rsidRPr="00953923">
        <w:rPr>
          <w:rFonts w:cs="Arial"/>
          <w:snapToGrid w:val="0"/>
        </w:rPr>
        <w:t xml:space="preserve">, </w:t>
      </w:r>
      <w:r w:rsidRPr="00953923">
        <w:rPr>
          <w:rFonts w:cs="Arial"/>
          <w:snapToGrid w:val="0"/>
        </w:rPr>
        <w:t>"Sand Penetration Test of Penetrating Emulsified Prime (PEP)".  The time of penetration shall be equal to or less than that of MC-30.  The depth of penetration shall be equal to or greater than that of MC-30.</w:t>
      </w:r>
    </w:p>
    <w:p w14:paraId="61229913" w14:textId="61B80F3F" w:rsidR="00FE6F5E" w:rsidRDefault="00FE6F5E" w:rsidP="00773F66">
      <w:pPr>
        <w:ind w:firstLine="720"/>
        <w:rPr>
          <w:rFonts w:cs="Arial"/>
          <w:snapToGrid w:val="0"/>
        </w:rPr>
      </w:pPr>
    </w:p>
    <w:p w14:paraId="6D2DC9C9" w14:textId="2325CABC" w:rsidR="00FE6F5E" w:rsidRDefault="00FE6F5E" w:rsidP="00FE6F5E">
      <w:pPr>
        <w:ind w:left="720" w:hanging="360"/>
        <w:rPr>
          <w:rFonts w:cs="Arial"/>
          <w:snapToGrid w:val="0"/>
        </w:rPr>
      </w:pPr>
      <w:r>
        <w:rPr>
          <w:rFonts w:cs="Arial"/>
          <w:snapToGrid w:val="0"/>
        </w:rPr>
        <w:t>(e)</w:t>
      </w:r>
      <w:r>
        <w:rPr>
          <w:rFonts w:cs="Arial"/>
          <w:snapToGrid w:val="0"/>
        </w:rPr>
        <w:tab/>
      </w:r>
      <w:r w:rsidR="00A150FC">
        <w:rPr>
          <w:rFonts w:cs="Arial"/>
          <w:snapToGrid w:val="0"/>
        </w:rPr>
        <w:t xml:space="preserve">Delete </w:t>
      </w:r>
      <w:r w:rsidR="00675CD6">
        <w:rPr>
          <w:rFonts w:cs="Arial"/>
          <w:snapToGrid w:val="0"/>
        </w:rPr>
        <w:t xml:space="preserve">this </w:t>
      </w:r>
      <w:r w:rsidR="00A150FC">
        <w:rPr>
          <w:rFonts w:cs="Arial"/>
          <w:snapToGrid w:val="0"/>
        </w:rPr>
        <w:t>subparagraph</w:t>
      </w:r>
      <w:r w:rsidR="00675CD6">
        <w:rPr>
          <w:rFonts w:cs="Arial"/>
          <w:snapToGrid w:val="0"/>
        </w:rPr>
        <w:t>.</w:t>
      </w:r>
    </w:p>
    <w:p w14:paraId="3EBDA3C7" w14:textId="2D990095" w:rsidR="00FE6F5E" w:rsidRPr="00953923" w:rsidRDefault="00FE6F5E" w:rsidP="00773F66">
      <w:pPr>
        <w:ind w:firstLine="720"/>
        <w:rPr>
          <w:rFonts w:cs="Arial"/>
          <w:snapToGrid w:val="0"/>
        </w:rPr>
      </w:pPr>
    </w:p>
    <w:p w14:paraId="31A74468" w14:textId="552509CE" w:rsidR="00BC738B" w:rsidRPr="00953923" w:rsidRDefault="00BC738B" w:rsidP="00BC738B">
      <w:pPr>
        <w:ind w:left="720" w:hanging="360"/>
        <w:rPr>
          <w:rFonts w:cs="Arial"/>
          <w:snapToGrid w:val="0"/>
        </w:rPr>
      </w:pPr>
      <w:r w:rsidRPr="00953923">
        <w:rPr>
          <w:rFonts w:cs="Arial"/>
          <w:snapToGrid w:val="0"/>
        </w:rPr>
        <w:t>(</w:t>
      </w:r>
      <w:r w:rsidR="00FE6F5E">
        <w:rPr>
          <w:rFonts w:cs="Arial"/>
          <w:snapToGrid w:val="0"/>
        </w:rPr>
        <w:t>f</w:t>
      </w:r>
      <w:r w:rsidRPr="00953923">
        <w:rPr>
          <w:rFonts w:cs="Arial"/>
          <w:snapToGrid w:val="0"/>
        </w:rPr>
        <w:t>)</w:t>
      </w:r>
      <w:r w:rsidRPr="00953923">
        <w:rPr>
          <w:rFonts w:cs="Arial"/>
          <w:snapToGrid w:val="0"/>
        </w:rPr>
        <w:tab/>
        <w:t>Polymer Modified Emulsified Asphalt.  Polymer modified emulsified asphalts</w:t>
      </w:r>
      <w:r w:rsidR="00F830B6">
        <w:rPr>
          <w:rFonts w:cs="Arial"/>
          <w:snapToGrid w:val="0"/>
        </w:rPr>
        <w:t>, e.g.</w:t>
      </w:r>
      <w:r w:rsidRPr="00953923">
        <w:rPr>
          <w:rFonts w:cs="Arial"/>
          <w:snapToGrid w:val="0"/>
        </w:rPr>
        <w:t xml:space="preserve"> </w:t>
      </w:r>
      <w:r w:rsidR="007C7697">
        <w:rPr>
          <w:rFonts w:cs="Arial"/>
          <w:snapToGrid w:val="0"/>
        </w:rPr>
        <w:t>SS-1hP, CSS-1hP, CRS-2P (formerly CRSP),</w:t>
      </w:r>
      <w:r w:rsidR="008F17B1">
        <w:rPr>
          <w:rFonts w:cs="Arial"/>
          <w:snapToGrid w:val="0"/>
        </w:rPr>
        <w:t xml:space="preserve"> </w:t>
      </w:r>
      <w:r w:rsidR="006D64F2">
        <w:rPr>
          <w:rFonts w:cs="Arial"/>
          <w:snapToGrid w:val="0"/>
        </w:rPr>
        <w:t>CQS-1h</w:t>
      </w:r>
      <w:r w:rsidR="00F7009A">
        <w:rPr>
          <w:rFonts w:cs="Arial"/>
          <w:snapToGrid w:val="0"/>
        </w:rPr>
        <w:t>P</w:t>
      </w:r>
      <w:r w:rsidR="006D64F2">
        <w:rPr>
          <w:rFonts w:cs="Arial"/>
          <w:snapToGrid w:val="0"/>
        </w:rPr>
        <w:t xml:space="preserve"> (formerly CSS-1h Latex Modified) </w:t>
      </w:r>
      <w:r w:rsidR="008F17B1">
        <w:rPr>
          <w:rFonts w:cs="Arial"/>
          <w:snapToGrid w:val="0"/>
        </w:rPr>
        <w:t>and</w:t>
      </w:r>
      <w:r w:rsidR="007C7697">
        <w:rPr>
          <w:rFonts w:cs="Arial"/>
          <w:snapToGrid w:val="0"/>
        </w:rPr>
        <w:t xml:space="preserve"> HFRS-2P (formerly HFP) </w:t>
      </w:r>
      <w:r w:rsidR="00002604">
        <w:rPr>
          <w:rFonts w:cs="Arial"/>
          <w:snapToGrid w:val="0"/>
        </w:rPr>
        <w:t xml:space="preserve">shall be according to AASHTO </w:t>
      </w:r>
      <w:r w:rsidR="0015253C">
        <w:rPr>
          <w:rFonts w:cs="Arial"/>
          <w:snapToGrid w:val="0"/>
        </w:rPr>
        <w:t>M </w:t>
      </w:r>
      <w:r w:rsidR="00002604">
        <w:rPr>
          <w:rFonts w:cs="Arial"/>
          <w:snapToGrid w:val="0"/>
        </w:rPr>
        <w:t>316</w:t>
      </w:r>
      <w:r w:rsidR="00647605">
        <w:rPr>
          <w:rFonts w:cs="Arial"/>
          <w:snapToGrid w:val="0"/>
        </w:rPr>
        <w:t>,</w:t>
      </w:r>
      <w:r w:rsidR="00185DD9">
        <w:rPr>
          <w:rFonts w:cs="Arial"/>
          <w:snapToGrid w:val="0"/>
        </w:rPr>
        <w:t xml:space="preserve"> </w:t>
      </w:r>
      <w:r w:rsidR="00DF74DC">
        <w:rPr>
          <w:rFonts w:cs="Arial"/>
          <w:snapToGrid w:val="0"/>
        </w:rPr>
        <w:t>except as follows</w:t>
      </w:r>
      <w:r w:rsidR="00002604">
        <w:rPr>
          <w:rFonts w:cs="Arial"/>
          <w:snapToGrid w:val="0"/>
        </w:rPr>
        <w:t>.</w:t>
      </w:r>
    </w:p>
    <w:p w14:paraId="78F8087E" w14:textId="77777777" w:rsidR="00BC738B" w:rsidRPr="00953923" w:rsidRDefault="00BC738B" w:rsidP="00773F66">
      <w:pPr>
        <w:ind w:left="720"/>
        <w:rPr>
          <w:rFonts w:cs="Arial"/>
          <w:snapToGrid w:val="0"/>
        </w:rPr>
      </w:pPr>
    </w:p>
    <w:p w14:paraId="49B51712" w14:textId="20A63AFE" w:rsidR="00BC738B" w:rsidRDefault="00BC738B" w:rsidP="000B591B">
      <w:pPr>
        <w:ind w:left="1080" w:hanging="360"/>
        <w:rPr>
          <w:rFonts w:cs="Arial"/>
          <w:snapToGrid w:val="0"/>
        </w:rPr>
      </w:pPr>
      <w:r w:rsidRPr="00953923">
        <w:rPr>
          <w:rFonts w:cs="Arial"/>
          <w:snapToGrid w:val="0"/>
        </w:rPr>
        <w:t>(1)</w:t>
      </w:r>
      <w:r w:rsidRPr="00953923">
        <w:rPr>
          <w:rFonts w:cs="Arial"/>
          <w:snapToGrid w:val="0"/>
        </w:rPr>
        <w:tab/>
        <w:t>The cement mixing test will be waived</w:t>
      </w:r>
      <w:r w:rsidR="001636D2">
        <w:rPr>
          <w:rFonts w:cs="Arial"/>
          <w:snapToGrid w:val="0"/>
        </w:rPr>
        <w:t xml:space="preserve"> when the polymer modified emulsion is being used as a tack coat</w:t>
      </w:r>
      <w:r w:rsidRPr="00953923">
        <w:rPr>
          <w:rFonts w:cs="Arial"/>
          <w:snapToGrid w:val="0"/>
        </w:rPr>
        <w:t>.</w:t>
      </w:r>
    </w:p>
    <w:p w14:paraId="079DC6B4" w14:textId="7E0A26B8" w:rsidR="003D319F" w:rsidRDefault="003D319F" w:rsidP="00773F66">
      <w:pPr>
        <w:ind w:left="1080"/>
        <w:rPr>
          <w:rFonts w:cs="Arial"/>
          <w:snapToGrid w:val="0"/>
        </w:rPr>
      </w:pPr>
    </w:p>
    <w:p w14:paraId="667C6FA8" w14:textId="6A01FC94" w:rsidR="003D319F" w:rsidRPr="003D319F" w:rsidRDefault="001B2C23" w:rsidP="00170FD2">
      <w:pPr>
        <w:tabs>
          <w:tab w:val="left" w:pos="720"/>
          <w:tab w:val="left" w:pos="1080"/>
        </w:tabs>
        <w:ind w:left="1080" w:hanging="1080"/>
        <w:rPr>
          <w:rFonts w:cs="Arial"/>
          <w:snapToGrid w:val="0"/>
        </w:rPr>
      </w:pPr>
      <w:r>
        <w:rPr>
          <w:rFonts w:cs="Arial"/>
          <w:snapToGrid w:val="0"/>
        </w:rPr>
        <w:tab/>
      </w:r>
      <w:r w:rsidR="003D319F" w:rsidRPr="003D319F">
        <w:rPr>
          <w:rFonts w:cs="Arial"/>
          <w:snapToGrid w:val="0"/>
        </w:rPr>
        <w:t>(</w:t>
      </w:r>
      <w:r w:rsidR="003D319F">
        <w:rPr>
          <w:rFonts w:cs="Arial"/>
          <w:snapToGrid w:val="0"/>
        </w:rPr>
        <w:t>2)</w:t>
      </w:r>
      <w:r>
        <w:rPr>
          <w:rFonts w:cs="Arial"/>
          <w:snapToGrid w:val="0"/>
        </w:rPr>
        <w:tab/>
      </w:r>
      <w:r w:rsidR="003D319F">
        <w:rPr>
          <w:rFonts w:cs="Arial"/>
          <w:snapToGrid w:val="0"/>
        </w:rPr>
        <w:t>CQS-1h</w:t>
      </w:r>
      <w:r w:rsidR="00F7009A">
        <w:rPr>
          <w:rFonts w:cs="Arial"/>
          <w:snapToGrid w:val="0"/>
        </w:rPr>
        <w:t>P</w:t>
      </w:r>
      <w:r w:rsidR="003D319F">
        <w:rPr>
          <w:rFonts w:cs="Arial"/>
          <w:snapToGrid w:val="0"/>
        </w:rPr>
        <w:t xml:space="preserve"> </w:t>
      </w:r>
      <w:r w:rsidR="00170FD2">
        <w:rPr>
          <w:rFonts w:cs="Arial"/>
          <w:snapToGrid w:val="0"/>
        </w:rPr>
        <w:t>(formerly CSS-1h L</w:t>
      </w:r>
      <w:r w:rsidR="00452B1E">
        <w:rPr>
          <w:rFonts w:cs="Arial"/>
          <w:snapToGrid w:val="0"/>
        </w:rPr>
        <w:t xml:space="preserve">atex </w:t>
      </w:r>
      <w:r w:rsidR="00170FD2">
        <w:rPr>
          <w:rFonts w:cs="Arial"/>
          <w:snapToGrid w:val="0"/>
        </w:rPr>
        <w:t>M</w:t>
      </w:r>
      <w:r w:rsidR="00452B1E">
        <w:rPr>
          <w:rFonts w:cs="Arial"/>
          <w:snapToGrid w:val="0"/>
        </w:rPr>
        <w:t>odified</w:t>
      </w:r>
      <w:r w:rsidR="00170FD2">
        <w:rPr>
          <w:rFonts w:cs="Arial"/>
          <w:snapToGrid w:val="0"/>
        </w:rPr>
        <w:t xml:space="preserve">) </w:t>
      </w:r>
      <w:r w:rsidR="003D319F">
        <w:rPr>
          <w:rFonts w:cs="Arial"/>
          <w:snapToGrid w:val="0"/>
        </w:rPr>
        <w:t>emulsion for micro</w:t>
      </w:r>
      <w:r w:rsidR="008242DB">
        <w:rPr>
          <w:rFonts w:cs="Arial"/>
          <w:snapToGrid w:val="0"/>
        </w:rPr>
        <w:t>-</w:t>
      </w:r>
      <w:r w:rsidR="003D319F">
        <w:rPr>
          <w:rFonts w:cs="Arial"/>
          <w:snapToGrid w:val="0"/>
        </w:rPr>
        <w:t xml:space="preserve">surfacing </w:t>
      </w:r>
      <w:r w:rsidR="00A8390F">
        <w:rPr>
          <w:rFonts w:cs="Arial"/>
          <w:snapToGrid w:val="0"/>
        </w:rPr>
        <w:t xml:space="preserve">treatments </w:t>
      </w:r>
      <w:r w:rsidR="003D319F">
        <w:rPr>
          <w:rFonts w:cs="Arial"/>
          <w:snapToGrid w:val="0"/>
        </w:rPr>
        <w:t xml:space="preserve">shall use latex as </w:t>
      </w:r>
      <w:r w:rsidR="0059156C">
        <w:rPr>
          <w:rFonts w:cs="Arial"/>
          <w:snapToGrid w:val="0"/>
        </w:rPr>
        <w:t>the modifier</w:t>
      </w:r>
      <w:r w:rsidR="00F7009A">
        <w:rPr>
          <w:rFonts w:cs="Arial"/>
          <w:snapToGrid w:val="0"/>
        </w:rPr>
        <w:t>.</w:t>
      </w:r>
    </w:p>
    <w:p w14:paraId="4342FADC" w14:textId="77777777" w:rsidR="00BC738B" w:rsidRPr="00953923" w:rsidRDefault="00BC738B" w:rsidP="00BC738B">
      <w:pPr>
        <w:ind w:left="1440" w:hanging="360"/>
        <w:rPr>
          <w:rFonts w:cs="Arial"/>
          <w:snapToGrid w:val="0"/>
        </w:rPr>
      </w:pPr>
    </w:p>
    <w:p w14:paraId="7B9EA448" w14:textId="2431F78B" w:rsidR="00BC738B" w:rsidRPr="00953923" w:rsidRDefault="000B591B" w:rsidP="001B2C23">
      <w:pPr>
        <w:tabs>
          <w:tab w:val="left" w:pos="1080"/>
        </w:tabs>
        <w:ind w:left="1080" w:hanging="360"/>
        <w:rPr>
          <w:rFonts w:cs="Arial"/>
          <w:snapToGrid w:val="0"/>
        </w:rPr>
      </w:pPr>
      <w:r>
        <w:rPr>
          <w:rFonts w:cs="Arial"/>
          <w:snapToGrid w:val="0"/>
        </w:rPr>
        <w:t>(</w:t>
      </w:r>
      <w:r w:rsidR="003D319F">
        <w:rPr>
          <w:rFonts w:cs="Arial"/>
          <w:snapToGrid w:val="0"/>
        </w:rPr>
        <w:t>3</w:t>
      </w:r>
      <w:r>
        <w:rPr>
          <w:rFonts w:cs="Arial"/>
          <w:snapToGrid w:val="0"/>
        </w:rPr>
        <w:t>)</w:t>
      </w:r>
      <w:r w:rsidR="001B2C23">
        <w:rPr>
          <w:rFonts w:cs="Arial"/>
          <w:snapToGrid w:val="0"/>
        </w:rPr>
        <w:tab/>
      </w:r>
      <w:r w:rsidR="00BC738B" w:rsidRPr="00953923">
        <w:rPr>
          <w:rFonts w:cs="Arial"/>
          <w:snapToGrid w:val="0"/>
        </w:rPr>
        <w:t>Upon examination of the storage stability test cylinder after standing undisturbed for 24</w:t>
      </w:r>
      <w:r w:rsidR="001B2C23">
        <w:rPr>
          <w:rFonts w:cs="Arial"/>
          <w:snapToGrid w:val="0"/>
        </w:rPr>
        <w:t> </w:t>
      </w:r>
      <w:r w:rsidR="00BC738B" w:rsidRPr="00953923">
        <w:rPr>
          <w:rFonts w:cs="Arial"/>
          <w:snapToGrid w:val="0"/>
        </w:rPr>
        <w:t xml:space="preserve">hours, the surface shall show </w:t>
      </w:r>
      <w:r>
        <w:rPr>
          <w:rFonts w:cs="Arial"/>
          <w:snapToGrid w:val="0"/>
        </w:rPr>
        <w:t xml:space="preserve">minimal to </w:t>
      </w:r>
      <w:r w:rsidR="00BC738B" w:rsidRPr="00953923">
        <w:rPr>
          <w:rFonts w:cs="Arial"/>
          <w:snapToGrid w:val="0"/>
        </w:rPr>
        <w:t>no white, milky colored substance and shall be a homogenous brown color throughout.</w:t>
      </w:r>
    </w:p>
    <w:p w14:paraId="1011609C" w14:textId="77777777" w:rsidR="00BC738B" w:rsidRPr="00953923" w:rsidRDefault="00BC738B" w:rsidP="00BC738B">
      <w:pPr>
        <w:ind w:left="1440" w:hanging="360"/>
        <w:rPr>
          <w:rFonts w:cs="Arial"/>
          <w:snapToGrid w:val="0"/>
        </w:rPr>
      </w:pPr>
    </w:p>
    <w:p w14:paraId="05B3FD4B" w14:textId="2BF25E19" w:rsidR="00BC738B" w:rsidRPr="00953923" w:rsidRDefault="00CB2630" w:rsidP="006D47CE">
      <w:pPr>
        <w:tabs>
          <w:tab w:val="left" w:pos="1080"/>
        </w:tabs>
        <w:ind w:left="1080" w:hanging="360"/>
        <w:rPr>
          <w:rFonts w:cs="Arial"/>
          <w:snapToGrid w:val="0"/>
        </w:rPr>
      </w:pPr>
      <w:r>
        <w:rPr>
          <w:rFonts w:cs="Arial"/>
          <w:snapToGrid w:val="0"/>
        </w:rPr>
        <w:t>(</w:t>
      </w:r>
      <w:r w:rsidR="003D319F">
        <w:rPr>
          <w:rFonts w:cs="Arial"/>
          <w:snapToGrid w:val="0"/>
        </w:rPr>
        <w:t>4</w:t>
      </w:r>
      <w:r>
        <w:rPr>
          <w:rFonts w:cs="Arial"/>
          <w:snapToGrid w:val="0"/>
        </w:rPr>
        <w:t>)</w:t>
      </w:r>
      <w:r w:rsidR="006D47CE">
        <w:rPr>
          <w:rFonts w:cs="Arial"/>
          <w:snapToGrid w:val="0"/>
        </w:rPr>
        <w:tab/>
      </w:r>
      <w:r w:rsidR="00BC738B" w:rsidRPr="00953923">
        <w:rPr>
          <w:rFonts w:cs="Arial"/>
          <w:snapToGrid w:val="0"/>
        </w:rPr>
        <w:t xml:space="preserve">The distillation for </w:t>
      </w:r>
      <w:r>
        <w:rPr>
          <w:rFonts w:cs="Arial"/>
          <w:snapToGrid w:val="0"/>
        </w:rPr>
        <w:t xml:space="preserve">all </w:t>
      </w:r>
      <w:r w:rsidR="00BC738B" w:rsidRPr="00953923">
        <w:rPr>
          <w:rFonts w:cs="Arial"/>
          <w:snapToGrid w:val="0"/>
        </w:rPr>
        <w:t>polymer modified emulsion</w:t>
      </w:r>
      <w:r>
        <w:rPr>
          <w:rFonts w:cs="Arial"/>
          <w:snapToGrid w:val="0"/>
        </w:rPr>
        <w:t>s</w:t>
      </w:r>
      <w:r w:rsidR="00BC738B" w:rsidRPr="00953923">
        <w:rPr>
          <w:rFonts w:cs="Arial"/>
          <w:snapToGrid w:val="0"/>
        </w:rPr>
        <w:t xml:space="preserve"> shall be performed according to AASHTO T 59, except the temperature shall be 374 ± 9 °F (190 ± 5 °C) </w:t>
      </w:r>
      <w:r w:rsidR="00F72FAF">
        <w:rPr>
          <w:rFonts w:cs="Arial"/>
          <w:snapToGrid w:val="0"/>
        </w:rPr>
        <w:t xml:space="preserve">to be held for a period of 15 minutes </w:t>
      </w:r>
      <w:bookmarkStart w:id="3" w:name="_Hlk4490494"/>
      <w:r w:rsidR="00BC738B" w:rsidRPr="00953923">
        <w:rPr>
          <w:rFonts w:cs="Arial"/>
          <w:snapToGrid w:val="0"/>
        </w:rPr>
        <w:t>and measured using an ASTM 16F (16C) thermometer.</w:t>
      </w:r>
    </w:p>
    <w:p w14:paraId="6508D7B2" w14:textId="77777777" w:rsidR="00BC738B" w:rsidRPr="00953923" w:rsidRDefault="00BC738B" w:rsidP="00BC738B">
      <w:pPr>
        <w:ind w:left="1440" w:hanging="360"/>
        <w:rPr>
          <w:rFonts w:cs="Arial"/>
          <w:snapToGrid w:val="0"/>
        </w:rPr>
      </w:pPr>
    </w:p>
    <w:bookmarkEnd w:id="3"/>
    <w:p w14:paraId="3BD03533" w14:textId="7F5F7BDD" w:rsidR="0096007C" w:rsidRDefault="00CB2630" w:rsidP="006D47CE">
      <w:pPr>
        <w:tabs>
          <w:tab w:val="left" w:pos="1080"/>
        </w:tabs>
        <w:ind w:left="1080" w:hanging="360"/>
        <w:rPr>
          <w:rFonts w:cs="Arial"/>
          <w:snapToGrid w:val="0"/>
        </w:rPr>
      </w:pPr>
      <w:r>
        <w:rPr>
          <w:rFonts w:cs="Arial"/>
          <w:snapToGrid w:val="0"/>
        </w:rPr>
        <w:t>(</w:t>
      </w:r>
      <w:r w:rsidR="003D319F">
        <w:rPr>
          <w:rFonts w:cs="Arial"/>
          <w:snapToGrid w:val="0"/>
        </w:rPr>
        <w:t>5</w:t>
      </w:r>
      <w:r>
        <w:rPr>
          <w:rFonts w:cs="Arial"/>
          <w:snapToGrid w:val="0"/>
        </w:rPr>
        <w:t>)</w:t>
      </w:r>
      <w:r w:rsidR="006D47CE">
        <w:rPr>
          <w:rFonts w:cs="Arial"/>
          <w:snapToGrid w:val="0"/>
        </w:rPr>
        <w:tab/>
      </w:r>
      <w:r w:rsidR="00BC738B" w:rsidRPr="00953923">
        <w:rPr>
          <w:rFonts w:cs="Arial"/>
          <w:snapToGrid w:val="0"/>
        </w:rPr>
        <w:t xml:space="preserve">The specified temperature </w:t>
      </w:r>
      <w:r>
        <w:rPr>
          <w:rFonts w:cs="Arial"/>
          <w:snapToGrid w:val="0"/>
        </w:rPr>
        <w:t xml:space="preserve">for the Elastic Recovery test for all polymer modified emulsions </w:t>
      </w:r>
      <w:r w:rsidR="00BC738B" w:rsidRPr="00953923">
        <w:rPr>
          <w:rFonts w:cs="Arial"/>
          <w:snapToGrid w:val="0"/>
        </w:rPr>
        <w:t xml:space="preserve">shall be </w:t>
      </w:r>
      <w:r>
        <w:rPr>
          <w:rFonts w:cs="Arial"/>
          <w:snapToGrid w:val="0"/>
        </w:rPr>
        <w:t>50.0</w:t>
      </w:r>
      <w:r w:rsidR="00BC738B" w:rsidRPr="00953923">
        <w:rPr>
          <w:rFonts w:cs="Arial"/>
          <w:snapToGrid w:val="0"/>
        </w:rPr>
        <w:t> ± 1.0 °F (</w:t>
      </w:r>
      <w:r>
        <w:rPr>
          <w:rFonts w:cs="Arial"/>
          <w:snapToGrid w:val="0"/>
        </w:rPr>
        <w:t>10</w:t>
      </w:r>
      <w:r w:rsidR="00BC738B" w:rsidRPr="00953923">
        <w:rPr>
          <w:rFonts w:cs="Arial"/>
          <w:snapToGrid w:val="0"/>
        </w:rPr>
        <w:t>.0 ± 0.5 °C).</w:t>
      </w:r>
    </w:p>
    <w:p w14:paraId="52A464EB" w14:textId="470B1462" w:rsidR="0096007C" w:rsidRDefault="0096007C" w:rsidP="00773F66">
      <w:pPr>
        <w:ind w:left="720" w:firstLine="360"/>
        <w:rPr>
          <w:rFonts w:cs="Arial"/>
          <w:snapToGrid w:val="0"/>
        </w:rPr>
      </w:pPr>
    </w:p>
    <w:p w14:paraId="73ED4F9E" w14:textId="561C1702" w:rsidR="0096007C" w:rsidRPr="0096007C" w:rsidRDefault="0096007C" w:rsidP="006D47CE">
      <w:pPr>
        <w:tabs>
          <w:tab w:val="left" w:pos="1080"/>
        </w:tabs>
        <w:ind w:left="1080" w:hanging="360"/>
        <w:rPr>
          <w:rFonts w:cs="Arial"/>
          <w:snapToGrid w:val="0"/>
        </w:rPr>
      </w:pPr>
      <w:r w:rsidRPr="0096007C">
        <w:rPr>
          <w:rFonts w:cs="Arial"/>
          <w:snapToGrid w:val="0"/>
        </w:rPr>
        <w:lastRenderedPageBreak/>
        <w:t>(</w:t>
      </w:r>
      <w:r w:rsidR="003D319F">
        <w:rPr>
          <w:rFonts w:cs="Arial"/>
          <w:snapToGrid w:val="0"/>
        </w:rPr>
        <w:t>6</w:t>
      </w:r>
      <w:r w:rsidRPr="0096007C">
        <w:rPr>
          <w:rFonts w:cs="Arial"/>
          <w:snapToGrid w:val="0"/>
        </w:rPr>
        <w:t>)</w:t>
      </w:r>
      <w:r w:rsidR="006D47CE">
        <w:rPr>
          <w:rFonts w:cs="Arial"/>
          <w:snapToGrid w:val="0"/>
        </w:rPr>
        <w:tab/>
      </w:r>
      <w:r w:rsidR="00A96823">
        <w:rPr>
          <w:rFonts w:cs="Arial"/>
          <w:snapToGrid w:val="0"/>
        </w:rPr>
        <w:t xml:space="preserve">The </w:t>
      </w:r>
      <w:r w:rsidRPr="0096007C">
        <w:rPr>
          <w:rFonts w:cs="Arial"/>
          <w:snapToGrid w:val="0"/>
        </w:rPr>
        <w:t xml:space="preserve">Solubility in Trichloroethylene </w:t>
      </w:r>
      <w:r w:rsidR="00A96823">
        <w:rPr>
          <w:rFonts w:cs="Arial"/>
          <w:snapToGrid w:val="0"/>
        </w:rPr>
        <w:t xml:space="preserve">test according to AASHTO T 44 </w:t>
      </w:r>
      <w:r w:rsidRPr="0096007C">
        <w:rPr>
          <w:rFonts w:cs="Arial"/>
          <w:snapToGrid w:val="0"/>
        </w:rPr>
        <w:t>may be run in lieu of Ash Content and shall meet a minimum of 97.5</w:t>
      </w:r>
      <w:r w:rsidR="006D47CE">
        <w:rPr>
          <w:rFonts w:cs="Arial"/>
          <w:snapToGrid w:val="0"/>
        </w:rPr>
        <w:t xml:space="preserve"> percent</w:t>
      </w:r>
      <w:r w:rsidRPr="0096007C">
        <w:rPr>
          <w:rFonts w:cs="Arial"/>
          <w:snapToGrid w:val="0"/>
        </w:rPr>
        <w:t>.</w:t>
      </w:r>
    </w:p>
    <w:p w14:paraId="59D33954" w14:textId="77777777" w:rsidR="00BC738B" w:rsidRPr="00953923" w:rsidRDefault="00BC738B" w:rsidP="00773F66">
      <w:pPr>
        <w:ind w:firstLine="1080"/>
        <w:rPr>
          <w:rFonts w:cs="Arial"/>
          <w:snapToGrid w:val="0"/>
        </w:rPr>
      </w:pPr>
    </w:p>
    <w:p w14:paraId="174B3D09" w14:textId="27E6D853" w:rsidR="00BC738B" w:rsidRPr="00953923" w:rsidRDefault="00BC738B" w:rsidP="00A95C34">
      <w:pPr>
        <w:tabs>
          <w:tab w:val="left" w:pos="720"/>
        </w:tabs>
        <w:ind w:left="720" w:hanging="360"/>
        <w:rPr>
          <w:rFonts w:cs="Arial"/>
          <w:snapToGrid w:val="0"/>
        </w:rPr>
      </w:pPr>
      <w:r w:rsidRPr="00953923">
        <w:rPr>
          <w:rFonts w:cs="Arial"/>
          <w:snapToGrid w:val="0"/>
        </w:rPr>
        <w:t>(</w:t>
      </w:r>
      <w:r w:rsidR="00A150FC">
        <w:rPr>
          <w:rFonts w:cs="Arial"/>
          <w:snapToGrid w:val="0"/>
        </w:rPr>
        <w:t>g</w:t>
      </w:r>
      <w:r w:rsidRPr="00953923">
        <w:rPr>
          <w:rFonts w:cs="Arial"/>
          <w:snapToGrid w:val="0"/>
        </w:rPr>
        <w:t>)</w:t>
      </w:r>
      <w:r w:rsidRPr="00953923">
        <w:rPr>
          <w:rFonts w:cs="Arial"/>
          <w:snapToGrid w:val="0"/>
        </w:rPr>
        <w:tab/>
        <w:t>Non-Tracking Emulsified Asphalt</w:t>
      </w:r>
      <w:r w:rsidR="00330BE1">
        <w:rPr>
          <w:rFonts w:cs="Arial"/>
          <w:snapToGrid w:val="0"/>
        </w:rPr>
        <w:t>.  Non-tracking emulsified asphalt</w:t>
      </w:r>
      <w:r w:rsidR="00FE36A0">
        <w:rPr>
          <w:rFonts w:cs="Arial"/>
          <w:snapToGrid w:val="0"/>
        </w:rPr>
        <w:t xml:space="preserve"> </w:t>
      </w:r>
      <w:r w:rsidR="006302CB">
        <w:rPr>
          <w:rFonts w:cs="Arial"/>
          <w:snapToGrid w:val="0"/>
        </w:rPr>
        <w:t>NTEA</w:t>
      </w:r>
      <w:r w:rsidR="00A150FC">
        <w:rPr>
          <w:rFonts w:cs="Arial"/>
          <w:snapToGrid w:val="0"/>
        </w:rPr>
        <w:t xml:space="preserve"> (</w:t>
      </w:r>
      <w:r w:rsidR="00330BE1">
        <w:rPr>
          <w:rFonts w:cs="Arial"/>
          <w:snapToGrid w:val="0"/>
        </w:rPr>
        <w:t xml:space="preserve">formerly </w:t>
      </w:r>
      <w:r w:rsidR="00A150FC">
        <w:rPr>
          <w:rFonts w:cs="Arial"/>
          <w:snapToGrid w:val="0"/>
        </w:rPr>
        <w:t>SS-1vh)</w:t>
      </w:r>
      <w:r w:rsidR="00A150FC" w:rsidRPr="00953923">
        <w:rPr>
          <w:rFonts w:cs="Arial"/>
          <w:snapToGrid w:val="0"/>
        </w:rPr>
        <w:t xml:space="preserve"> </w:t>
      </w:r>
      <w:r w:rsidRPr="00953923">
        <w:rPr>
          <w:rFonts w:cs="Arial"/>
          <w:snapToGrid w:val="0"/>
        </w:rPr>
        <w:t>shall be according to the following.</w:t>
      </w:r>
    </w:p>
    <w:p w14:paraId="627726AB" w14:textId="05EC2568" w:rsidR="00A95C34" w:rsidRPr="00953923" w:rsidRDefault="00A95C34" w:rsidP="00773F66">
      <w:pPr>
        <w:ind w:firstLine="720"/>
        <w:rPr>
          <w:rFonts w:cs="Arial"/>
          <w:snapToGrid w:val="0"/>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880"/>
      </w:tblGrid>
      <w:tr w:rsidR="00BC738B" w:rsidRPr="00953923" w14:paraId="5A67CF17" w14:textId="77777777" w:rsidTr="006F7CDC">
        <w:tc>
          <w:tcPr>
            <w:tcW w:w="5760" w:type="dxa"/>
          </w:tcPr>
          <w:p w14:paraId="701F4397" w14:textId="77777777" w:rsidR="00BC738B" w:rsidRPr="00953923" w:rsidRDefault="00BC738B" w:rsidP="002112CD">
            <w:pPr>
              <w:spacing w:before="40" w:after="40"/>
              <w:jc w:val="center"/>
              <w:rPr>
                <w:rFonts w:cs="Arial"/>
                <w:snapToGrid w:val="0"/>
              </w:rPr>
            </w:pPr>
            <w:r w:rsidRPr="00953923">
              <w:rPr>
                <w:rFonts w:cs="Arial"/>
                <w:snapToGrid w:val="0"/>
              </w:rPr>
              <w:t>Test</w:t>
            </w:r>
          </w:p>
        </w:tc>
        <w:tc>
          <w:tcPr>
            <w:tcW w:w="2880" w:type="dxa"/>
            <w:vAlign w:val="bottom"/>
          </w:tcPr>
          <w:p w14:paraId="7A70F4AF" w14:textId="77777777" w:rsidR="00BC738B" w:rsidRPr="00953923" w:rsidRDefault="00BC738B" w:rsidP="002112CD">
            <w:pPr>
              <w:spacing w:before="40" w:after="40"/>
              <w:jc w:val="center"/>
              <w:rPr>
                <w:rFonts w:cs="Arial"/>
                <w:snapToGrid w:val="0"/>
              </w:rPr>
            </w:pPr>
            <w:r w:rsidRPr="00953923">
              <w:rPr>
                <w:rFonts w:cs="Arial"/>
                <w:snapToGrid w:val="0"/>
              </w:rPr>
              <w:t>Requirement</w:t>
            </w:r>
          </w:p>
        </w:tc>
      </w:tr>
      <w:tr w:rsidR="00BC738B" w:rsidRPr="00953923" w14:paraId="6DE2DB1D" w14:textId="77777777" w:rsidTr="006F7CDC">
        <w:tc>
          <w:tcPr>
            <w:tcW w:w="5760" w:type="dxa"/>
          </w:tcPr>
          <w:p w14:paraId="5B808663" w14:textId="77777777" w:rsidR="00BC738B" w:rsidRPr="00953923" w:rsidRDefault="00BC738B" w:rsidP="002112CD">
            <w:pPr>
              <w:jc w:val="left"/>
              <w:rPr>
                <w:rFonts w:cs="Arial"/>
                <w:snapToGrid w:val="0"/>
              </w:rPr>
            </w:pPr>
            <w:proofErr w:type="spellStart"/>
            <w:r w:rsidRPr="00953923">
              <w:rPr>
                <w:rFonts w:cs="Arial"/>
                <w:snapToGrid w:val="0"/>
              </w:rPr>
              <w:t>Saybolt</w:t>
            </w:r>
            <w:proofErr w:type="spellEnd"/>
            <w:r w:rsidRPr="00953923">
              <w:rPr>
                <w:rFonts w:cs="Arial"/>
                <w:snapToGrid w:val="0"/>
              </w:rPr>
              <w:t xml:space="preserve"> Viscosity at 77 °F (25 °C),</w:t>
            </w:r>
          </w:p>
          <w:p w14:paraId="6CB0666B" w14:textId="77777777" w:rsidR="00BC738B" w:rsidRPr="00953923" w:rsidRDefault="00BC738B" w:rsidP="002112CD">
            <w:pPr>
              <w:jc w:val="left"/>
              <w:rPr>
                <w:rFonts w:cs="Arial"/>
                <w:snapToGrid w:val="0"/>
              </w:rPr>
            </w:pPr>
            <w:r w:rsidRPr="00953923">
              <w:rPr>
                <w:rFonts w:cs="Arial"/>
                <w:snapToGrid w:val="0"/>
              </w:rPr>
              <w:t xml:space="preserve">   (AASHTO T 59), SFS</w:t>
            </w:r>
          </w:p>
        </w:tc>
        <w:tc>
          <w:tcPr>
            <w:tcW w:w="2880" w:type="dxa"/>
            <w:vAlign w:val="bottom"/>
          </w:tcPr>
          <w:p w14:paraId="46560AA3" w14:textId="7B08BBB7" w:rsidR="00BC738B" w:rsidRPr="00953923" w:rsidRDefault="001736BC" w:rsidP="002112CD">
            <w:pPr>
              <w:jc w:val="center"/>
              <w:rPr>
                <w:rFonts w:cs="Arial"/>
                <w:snapToGrid w:val="0"/>
              </w:rPr>
            </w:pPr>
            <w:r>
              <w:rPr>
                <w:rFonts w:cs="Arial"/>
                <w:snapToGrid w:val="0"/>
              </w:rPr>
              <w:t>20</w:t>
            </w:r>
            <w:r w:rsidR="00BC738B" w:rsidRPr="00953923">
              <w:rPr>
                <w:rFonts w:cs="Arial"/>
                <w:snapToGrid w:val="0"/>
              </w:rPr>
              <w:t>-</w:t>
            </w:r>
            <w:r w:rsidR="006302CB">
              <w:rPr>
                <w:rFonts w:cs="Arial"/>
                <w:snapToGrid w:val="0"/>
              </w:rPr>
              <w:t>1</w:t>
            </w:r>
            <w:r w:rsidR="00BC738B" w:rsidRPr="00953923">
              <w:rPr>
                <w:rFonts w:cs="Arial"/>
                <w:snapToGrid w:val="0"/>
              </w:rPr>
              <w:t>00</w:t>
            </w:r>
          </w:p>
        </w:tc>
      </w:tr>
      <w:tr w:rsidR="00BC738B" w:rsidRPr="00953923" w14:paraId="1AC67329" w14:textId="77777777" w:rsidTr="006F7CDC">
        <w:tc>
          <w:tcPr>
            <w:tcW w:w="5760" w:type="dxa"/>
          </w:tcPr>
          <w:p w14:paraId="32FCE7D0" w14:textId="77777777" w:rsidR="00BC738B" w:rsidRPr="00953923" w:rsidRDefault="00BC738B" w:rsidP="002112CD">
            <w:pPr>
              <w:jc w:val="left"/>
              <w:rPr>
                <w:rFonts w:cs="Arial"/>
                <w:snapToGrid w:val="0"/>
              </w:rPr>
            </w:pPr>
            <w:r w:rsidRPr="00953923">
              <w:rPr>
                <w:rFonts w:cs="Arial"/>
                <w:snapToGrid w:val="0"/>
              </w:rPr>
              <w:t xml:space="preserve">Storage Stability Test, 24 </w:t>
            </w:r>
            <w:proofErr w:type="spellStart"/>
            <w:r w:rsidRPr="00953923">
              <w:rPr>
                <w:rFonts w:cs="Arial"/>
                <w:snapToGrid w:val="0"/>
              </w:rPr>
              <w:t>hr</w:t>
            </w:r>
            <w:proofErr w:type="spellEnd"/>
            <w:r w:rsidRPr="00953923">
              <w:rPr>
                <w:rFonts w:cs="Arial"/>
                <w:snapToGrid w:val="0"/>
              </w:rPr>
              <w:t>, (AASHTO T 59), %</w:t>
            </w:r>
          </w:p>
        </w:tc>
        <w:tc>
          <w:tcPr>
            <w:tcW w:w="2880" w:type="dxa"/>
            <w:vAlign w:val="bottom"/>
          </w:tcPr>
          <w:p w14:paraId="2B55EF34" w14:textId="77777777" w:rsidR="00BC738B" w:rsidRPr="00953923" w:rsidRDefault="00BC738B" w:rsidP="002112CD">
            <w:pPr>
              <w:jc w:val="center"/>
              <w:rPr>
                <w:rFonts w:cs="Arial"/>
                <w:snapToGrid w:val="0"/>
              </w:rPr>
            </w:pPr>
            <w:r w:rsidRPr="00953923">
              <w:rPr>
                <w:rFonts w:cs="Arial"/>
                <w:snapToGrid w:val="0"/>
              </w:rPr>
              <w:t>1 max.</w:t>
            </w:r>
          </w:p>
        </w:tc>
      </w:tr>
      <w:tr w:rsidR="00BC738B" w:rsidRPr="00953923" w14:paraId="1F14F9DC" w14:textId="77777777" w:rsidTr="006F7CDC">
        <w:tc>
          <w:tcPr>
            <w:tcW w:w="5760" w:type="dxa"/>
          </w:tcPr>
          <w:p w14:paraId="4A3CBA7E" w14:textId="24037D73" w:rsidR="00BC738B" w:rsidRPr="00953923" w:rsidRDefault="008C2492" w:rsidP="002112CD">
            <w:pPr>
              <w:jc w:val="left"/>
              <w:rPr>
                <w:rFonts w:cs="Arial"/>
                <w:snapToGrid w:val="0"/>
              </w:rPr>
            </w:pPr>
            <w:r>
              <w:rPr>
                <w:rFonts w:cs="Arial"/>
                <w:snapToGrid w:val="0"/>
              </w:rPr>
              <w:t xml:space="preserve">Residue by Distillation, </w:t>
            </w:r>
            <w:r w:rsidR="00295C8B">
              <w:rPr>
                <w:rFonts w:cs="Arial"/>
                <w:snapToGrid w:val="0"/>
              </w:rPr>
              <w:t>500</w:t>
            </w:r>
            <w:r w:rsidR="00CB508E">
              <w:rPr>
                <w:rFonts w:cs="Arial"/>
                <w:snapToGrid w:val="0"/>
              </w:rPr>
              <w:t xml:space="preserve"> ± 10</w:t>
            </w:r>
            <w:r w:rsidRPr="00953923">
              <w:rPr>
                <w:rFonts w:cs="Arial"/>
                <w:snapToGrid w:val="0"/>
              </w:rPr>
              <w:t xml:space="preserve"> °F </w:t>
            </w:r>
            <w:r w:rsidR="00CB508E">
              <w:rPr>
                <w:rFonts w:cs="Arial"/>
                <w:snapToGrid w:val="0"/>
              </w:rPr>
              <w:t>(260 ± 5</w:t>
            </w:r>
            <w:r w:rsidRPr="00953923">
              <w:rPr>
                <w:rFonts w:cs="Arial"/>
                <w:snapToGrid w:val="0"/>
              </w:rPr>
              <w:t xml:space="preserve"> °C),</w:t>
            </w:r>
            <w:r>
              <w:rPr>
                <w:rFonts w:cs="Arial"/>
                <w:snapToGrid w:val="0"/>
              </w:rPr>
              <w:t xml:space="preserve"> or </w:t>
            </w:r>
            <w:r w:rsidR="00BC738B" w:rsidRPr="00953923">
              <w:rPr>
                <w:rFonts w:cs="Arial"/>
                <w:snapToGrid w:val="0"/>
              </w:rPr>
              <w:t>Residue by Evaporation, 325 ± 5 °F (163 ± 3 °C),</w:t>
            </w:r>
          </w:p>
          <w:p w14:paraId="16CB625F" w14:textId="77777777" w:rsidR="00BC738B" w:rsidRPr="00953923" w:rsidRDefault="00BC738B" w:rsidP="002112CD">
            <w:pPr>
              <w:jc w:val="left"/>
              <w:rPr>
                <w:rFonts w:cs="Arial"/>
                <w:snapToGrid w:val="0"/>
              </w:rPr>
            </w:pPr>
            <w:r w:rsidRPr="00953923">
              <w:rPr>
                <w:rFonts w:cs="Arial"/>
                <w:snapToGrid w:val="0"/>
              </w:rPr>
              <w:t xml:space="preserve">   (AASHTO T 59), %</w:t>
            </w:r>
          </w:p>
        </w:tc>
        <w:tc>
          <w:tcPr>
            <w:tcW w:w="2880" w:type="dxa"/>
            <w:vAlign w:val="bottom"/>
          </w:tcPr>
          <w:p w14:paraId="13898DE3" w14:textId="77777777" w:rsidR="00BC738B" w:rsidRPr="00953923" w:rsidRDefault="00BC738B" w:rsidP="002112CD">
            <w:pPr>
              <w:jc w:val="center"/>
              <w:rPr>
                <w:rFonts w:cs="Arial"/>
                <w:snapToGrid w:val="0"/>
              </w:rPr>
            </w:pPr>
            <w:r w:rsidRPr="00953923">
              <w:rPr>
                <w:rFonts w:cs="Arial"/>
                <w:snapToGrid w:val="0"/>
              </w:rPr>
              <w:t>50 min.</w:t>
            </w:r>
          </w:p>
        </w:tc>
      </w:tr>
      <w:tr w:rsidR="00BC738B" w:rsidRPr="00953923" w14:paraId="38EE8071" w14:textId="77777777" w:rsidTr="006F7CDC">
        <w:tc>
          <w:tcPr>
            <w:tcW w:w="5760" w:type="dxa"/>
          </w:tcPr>
          <w:p w14:paraId="02C22FD6" w14:textId="77777777" w:rsidR="00BC738B" w:rsidRPr="00953923" w:rsidRDefault="00BC738B" w:rsidP="002112CD">
            <w:pPr>
              <w:jc w:val="left"/>
              <w:rPr>
                <w:rFonts w:cs="Arial"/>
                <w:snapToGrid w:val="0"/>
              </w:rPr>
            </w:pPr>
            <w:r w:rsidRPr="00953923">
              <w:rPr>
                <w:rFonts w:cs="Arial"/>
                <w:snapToGrid w:val="0"/>
              </w:rPr>
              <w:t>Sieve Test, No. 20 (850 µm), (AASHTO T 59), %</w:t>
            </w:r>
          </w:p>
        </w:tc>
        <w:tc>
          <w:tcPr>
            <w:tcW w:w="2880" w:type="dxa"/>
            <w:vAlign w:val="bottom"/>
          </w:tcPr>
          <w:p w14:paraId="6EB1E015" w14:textId="4D0148A5" w:rsidR="00BC738B" w:rsidRPr="00953923" w:rsidRDefault="00BC738B" w:rsidP="002112CD">
            <w:pPr>
              <w:jc w:val="center"/>
              <w:rPr>
                <w:rFonts w:cs="Arial"/>
                <w:snapToGrid w:val="0"/>
              </w:rPr>
            </w:pPr>
            <w:r w:rsidRPr="00953923">
              <w:rPr>
                <w:rFonts w:cs="Arial"/>
                <w:snapToGrid w:val="0"/>
              </w:rPr>
              <w:t>0.3 max.</w:t>
            </w:r>
          </w:p>
        </w:tc>
      </w:tr>
      <w:tr w:rsidR="00BC738B" w:rsidRPr="00953923" w14:paraId="24799249" w14:textId="77777777" w:rsidTr="006D47CE">
        <w:trPr>
          <w:trHeight w:val="440"/>
        </w:trPr>
        <w:tc>
          <w:tcPr>
            <w:tcW w:w="8640" w:type="dxa"/>
            <w:gridSpan w:val="2"/>
            <w:vAlign w:val="center"/>
          </w:tcPr>
          <w:p w14:paraId="30C22E5E" w14:textId="77777777" w:rsidR="00BC738B" w:rsidRPr="00953923" w:rsidRDefault="00BC738B" w:rsidP="002112CD">
            <w:pPr>
              <w:jc w:val="center"/>
              <w:rPr>
                <w:rFonts w:cs="Arial"/>
                <w:snapToGrid w:val="0"/>
              </w:rPr>
            </w:pPr>
            <w:r w:rsidRPr="00953923">
              <w:rPr>
                <w:rFonts w:cs="Arial"/>
                <w:snapToGrid w:val="0"/>
              </w:rPr>
              <w:t>Tests on Residue from Evaporation</w:t>
            </w:r>
          </w:p>
        </w:tc>
      </w:tr>
      <w:tr w:rsidR="00BC738B" w:rsidRPr="00953923" w14:paraId="00505B35" w14:textId="77777777" w:rsidTr="006F7CDC">
        <w:tc>
          <w:tcPr>
            <w:tcW w:w="5760" w:type="dxa"/>
          </w:tcPr>
          <w:p w14:paraId="66EDAE98" w14:textId="77777777" w:rsidR="00BC738B" w:rsidRPr="00953923" w:rsidRDefault="00BC738B" w:rsidP="002112CD">
            <w:pPr>
              <w:jc w:val="left"/>
              <w:rPr>
                <w:rFonts w:cs="Arial"/>
                <w:snapToGrid w:val="0"/>
              </w:rPr>
            </w:pPr>
            <w:r w:rsidRPr="00953923">
              <w:rPr>
                <w:rFonts w:cs="Arial"/>
                <w:snapToGrid w:val="0"/>
              </w:rPr>
              <w:t xml:space="preserve">Penetration at 77 °F (25 °C), 100 g, 5 sec, </w:t>
            </w:r>
          </w:p>
          <w:p w14:paraId="474FE046" w14:textId="77777777" w:rsidR="00BC738B" w:rsidRPr="00953923" w:rsidRDefault="00BC738B" w:rsidP="002112CD">
            <w:pPr>
              <w:jc w:val="left"/>
              <w:rPr>
                <w:rFonts w:cs="Arial"/>
                <w:snapToGrid w:val="0"/>
              </w:rPr>
            </w:pPr>
            <w:r w:rsidRPr="00953923">
              <w:rPr>
                <w:rFonts w:cs="Arial"/>
                <w:snapToGrid w:val="0"/>
              </w:rPr>
              <w:t xml:space="preserve">   (AASHTO T 49), </w:t>
            </w:r>
            <w:proofErr w:type="spellStart"/>
            <w:r w:rsidRPr="00953923">
              <w:rPr>
                <w:rFonts w:cs="Arial"/>
                <w:snapToGrid w:val="0"/>
              </w:rPr>
              <w:t>dmm</w:t>
            </w:r>
            <w:proofErr w:type="spellEnd"/>
          </w:p>
        </w:tc>
        <w:tc>
          <w:tcPr>
            <w:tcW w:w="2880" w:type="dxa"/>
            <w:vAlign w:val="bottom"/>
          </w:tcPr>
          <w:p w14:paraId="5E5BBC36" w14:textId="02184DB5" w:rsidR="00BC738B" w:rsidRPr="00953923" w:rsidRDefault="006302CB" w:rsidP="002112CD">
            <w:pPr>
              <w:jc w:val="center"/>
              <w:rPr>
                <w:rFonts w:cs="Arial"/>
                <w:snapToGrid w:val="0"/>
              </w:rPr>
            </w:pPr>
            <w:r>
              <w:rPr>
                <w:rFonts w:cs="Arial"/>
                <w:snapToGrid w:val="0"/>
              </w:rPr>
              <w:t>4</w:t>
            </w:r>
            <w:r w:rsidR="00BC738B" w:rsidRPr="00953923">
              <w:rPr>
                <w:rFonts w:cs="Arial"/>
                <w:snapToGrid w:val="0"/>
              </w:rPr>
              <w:t>0 max.</w:t>
            </w:r>
          </w:p>
        </w:tc>
      </w:tr>
      <w:tr w:rsidR="00BC738B" w:rsidRPr="00953923" w14:paraId="488945C5" w14:textId="77777777" w:rsidTr="006F7CDC">
        <w:tc>
          <w:tcPr>
            <w:tcW w:w="5760" w:type="dxa"/>
          </w:tcPr>
          <w:p w14:paraId="25C7AFD6" w14:textId="77777777" w:rsidR="00BC738B" w:rsidRPr="00953923" w:rsidRDefault="00BC738B" w:rsidP="002112CD">
            <w:pPr>
              <w:jc w:val="left"/>
              <w:rPr>
                <w:rFonts w:cs="Arial"/>
                <w:snapToGrid w:val="0"/>
              </w:rPr>
            </w:pPr>
            <w:r w:rsidRPr="00953923">
              <w:rPr>
                <w:rFonts w:cs="Arial"/>
                <w:snapToGrid w:val="0"/>
              </w:rPr>
              <w:t>Softening Point, (AASHTO T 53), °F (°C)</w:t>
            </w:r>
          </w:p>
        </w:tc>
        <w:tc>
          <w:tcPr>
            <w:tcW w:w="2880" w:type="dxa"/>
            <w:vAlign w:val="bottom"/>
          </w:tcPr>
          <w:p w14:paraId="78B16554" w14:textId="2E04134B" w:rsidR="00BC738B" w:rsidRPr="00953923" w:rsidRDefault="00BC738B" w:rsidP="002112CD">
            <w:pPr>
              <w:jc w:val="center"/>
              <w:rPr>
                <w:rFonts w:cs="Arial"/>
                <w:snapToGrid w:val="0"/>
              </w:rPr>
            </w:pPr>
            <w:r w:rsidRPr="00953923">
              <w:rPr>
                <w:rFonts w:cs="Arial"/>
                <w:snapToGrid w:val="0"/>
              </w:rPr>
              <w:t>1</w:t>
            </w:r>
            <w:r w:rsidR="00FF1CE4">
              <w:rPr>
                <w:rFonts w:cs="Arial"/>
                <w:snapToGrid w:val="0"/>
              </w:rPr>
              <w:t>35</w:t>
            </w:r>
            <w:r w:rsidRPr="00953923">
              <w:rPr>
                <w:rFonts w:cs="Arial"/>
                <w:snapToGrid w:val="0"/>
              </w:rPr>
              <w:t xml:space="preserve"> (</w:t>
            </w:r>
            <w:r w:rsidR="006F2A62">
              <w:rPr>
                <w:rFonts w:cs="Arial"/>
                <w:snapToGrid w:val="0"/>
              </w:rPr>
              <w:t>5</w:t>
            </w:r>
            <w:r w:rsidR="00FF1CE4">
              <w:rPr>
                <w:rFonts w:cs="Arial"/>
                <w:snapToGrid w:val="0"/>
              </w:rPr>
              <w:t>7</w:t>
            </w:r>
            <w:r w:rsidRPr="00953923">
              <w:rPr>
                <w:rFonts w:cs="Arial"/>
                <w:snapToGrid w:val="0"/>
              </w:rPr>
              <w:t>) min.</w:t>
            </w:r>
          </w:p>
        </w:tc>
      </w:tr>
      <w:tr w:rsidR="00BC738B" w:rsidRPr="00953923" w14:paraId="5611A6D0" w14:textId="77777777" w:rsidTr="006F7CDC">
        <w:tc>
          <w:tcPr>
            <w:tcW w:w="5760" w:type="dxa"/>
          </w:tcPr>
          <w:p w14:paraId="554672F4" w14:textId="60AF5131" w:rsidR="00BC738B" w:rsidRPr="00953923" w:rsidRDefault="006302CB" w:rsidP="002112CD">
            <w:pPr>
              <w:jc w:val="left"/>
              <w:rPr>
                <w:rFonts w:cs="Arial"/>
                <w:snapToGrid w:val="0"/>
              </w:rPr>
            </w:pPr>
            <w:r>
              <w:rPr>
                <w:rFonts w:cs="Arial"/>
                <w:snapToGrid w:val="0"/>
              </w:rPr>
              <w:t>Ash Content</w:t>
            </w:r>
            <w:r w:rsidR="00BC738B" w:rsidRPr="00953923">
              <w:rPr>
                <w:rFonts w:cs="Arial"/>
                <w:snapToGrid w:val="0"/>
              </w:rPr>
              <w:t>,</w:t>
            </w:r>
            <w:r w:rsidR="008242DB">
              <w:rPr>
                <w:rFonts w:cs="Arial"/>
                <w:snapToGrid w:val="0"/>
              </w:rPr>
              <w:t xml:space="preserve"> (AASHTO T 111), %</w:t>
            </w:r>
            <w:r w:rsidR="004B3DBE">
              <w:rPr>
                <w:rFonts w:cs="Arial"/>
                <w:snapToGrid w:val="0"/>
              </w:rPr>
              <w:t xml:space="preserve"> </w:t>
            </w:r>
            <w:r w:rsidR="00CB5C92" w:rsidRPr="00E84314">
              <w:rPr>
                <w:rFonts w:cs="Arial"/>
                <w:snapToGrid w:val="0"/>
                <w:vertAlign w:val="superscript"/>
              </w:rPr>
              <w:t>1/</w:t>
            </w:r>
          </w:p>
        </w:tc>
        <w:tc>
          <w:tcPr>
            <w:tcW w:w="2880" w:type="dxa"/>
          </w:tcPr>
          <w:p w14:paraId="0AB4D30F" w14:textId="5989683C" w:rsidR="00BC738B" w:rsidRPr="00E776AE" w:rsidRDefault="00E776AE" w:rsidP="00E776AE">
            <w:pPr>
              <w:pStyle w:val="ListParagraph"/>
              <w:ind w:left="-14"/>
              <w:jc w:val="center"/>
              <w:rPr>
                <w:rFonts w:cs="Arial"/>
                <w:snapToGrid w:val="0"/>
              </w:rPr>
            </w:pPr>
            <w:r>
              <w:rPr>
                <w:rFonts w:cs="Arial"/>
                <w:snapToGrid w:val="0"/>
              </w:rPr>
              <w:t xml:space="preserve">1 </w:t>
            </w:r>
            <w:r w:rsidR="006302CB" w:rsidRPr="00E776AE">
              <w:rPr>
                <w:rFonts w:cs="Arial"/>
                <w:snapToGrid w:val="0"/>
              </w:rPr>
              <w:t>max.</w:t>
            </w:r>
          </w:p>
        </w:tc>
      </w:tr>
    </w:tbl>
    <w:p w14:paraId="59D4E799" w14:textId="52768918" w:rsidR="00BC738B" w:rsidRDefault="00BC738B" w:rsidP="00773F66">
      <w:pPr>
        <w:ind w:firstLine="720"/>
        <w:rPr>
          <w:rFonts w:cs="Arial"/>
          <w:snapToGrid w:val="0"/>
        </w:rPr>
      </w:pPr>
    </w:p>
    <w:p w14:paraId="31E4FD45" w14:textId="00042780" w:rsidR="0096007C" w:rsidRPr="00E776AE" w:rsidRDefault="00CB5C92" w:rsidP="00E84314">
      <w:pPr>
        <w:tabs>
          <w:tab w:val="left" w:pos="1440"/>
        </w:tabs>
        <w:ind w:left="1440" w:hanging="360"/>
        <w:rPr>
          <w:rFonts w:cs="Arial"/>
          <w:snapToGrid w:val="0"/>
        </w:rPr>
      </w:pPr>
      <w:r>
        <w:rPr>
          <w:rFonts w:cs="Arial"/>
          <w:snapToGrid w:val="0"/>
        </w:rPr>
        <w:t>1/</w:t>
      </w:r>
      <w:r w:rsidR="00E776AE">
        <w:rPr>
          <w:rFonts w:cs="Arial"/>
          <w:snapToGrid w:val="0"/>
        </w:rPr>
        <w:tab/>
      </w:r>
      <w:r w:rsidR="00A96823" w:rsidRPr="00E776AE">
        <w:rPr>
          <w:rFonts w:cs="Arial"/>
          <w:snapToGrid w:val="0"/>
        </w:rPr>
        <w:t>The Solubility in Trichloroethylene test according to AASHTO T 44 may be run in lieu of Ash Content and shall meet a minimum of 97.5 percent</w:t>
      </w:r>
    </w:p>
    <w:p w14:paraId="1DC82DD3" w14:textId="77777777" w:rsidR="0096007C" w:rsidRPr="00953923" w:rsidRDefault="0096007C" w:rsidP="00773F66">
      <w:pPr>
        <w:ind w:firstLine="1080"/>
        <w:rPr>
          <w:rFonts w:cs="Arial"/>
          <w:snapToGrid w:val="0"/>
        </w:rPr>
      </w:pPr>
    </w:p>
    <w:p w14:paraId="57C5BF28" w14:textId="77777777" w:rsidR="00BC738B" w:rsidRPr="00953923" w:rsidRDefault="00BC738B" w:rsidP="00BC738B">
      <w:pPr>
        <w:ind w:left="1440" w:hanging="1080"/>
        <w:rPr>
          <w:rFonts w:cs="Arial"/>
        </w:rPr>
      </w:pPr>
      <w:r w:rsidRPr="00953923">
        <w:rPr>
          <w:rFonts w:cs="Arial"/>
          <w:snapToGrid w:val="0"/>
        </w:rPr>
        <w:t>The different grades are, in general, used for the following.</w:t>
      </w:r>
    </w:p>
    <w:p w14:paraId="584354EB" w14:textId="77777777" w:rsidR="00BC738B" w:rsidRPr="00953923" w:rsidRDefault="00BC738B" w:rsidP="00773F66">
      <w:pPr>
        <w:ind w:left="1440" w:hanging="1080"/>
        <w:rPr>
          <w:rFonts w:cs="Arial"/>
        </w:rPr>
      </w:pPr>
    </w:p>
    <w:tbl>
      <w:tblPr>
        <w:tblW w:w="898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3"/>
        <w:gridCol w:w="3600"/>
      </w:tblGrid>
      <w:tr w:rsidR="00BC738B" w:rsidRPr="00953923" w14:paraId="5DD37199" w14:textId="77777777" w:rsidTr="00751EA2">
        <w:trPr>
          <w:trHeight w:val="162"/>
        </w:trPr>
        <w:tc>
          <w:tcPr>
            <w:tcW w:w="5383" w:type="dxa"/>
          </w:tcPr>
          <w:p w14:paraId="2A1DB116" w14:textId="77777777" w:rsidR="00BC738B" w:rsidRPr="00953923" w:rsidRDefault="00BC738B" w:rsidP="002112CD">
            <w:pPr>
              <w:spacing w:before="60" w:after="60"/>
              <w:jc w:val="center"/>
              <w:rPr>
                <w:rFonts w:cs="Arial"/>
                <w:snapToGrid w:val="0"/>
              </w:rPr>
            </w:pPr>
            <w:r w:rsidRPr="00953923">
              <w:rPr>
                <w:rFonts w:cs="Arial"/>
                <w:snapToGrid w:val="0"/>
              </w:rPr>
              <w:t>Grade</w:t>
            </w:r>
          </w:p>
        </w:tc>
        <w:tc>
          <w:tcPr>
            <w:tcW w:w="3600" w:type="dxa"/>
          </w:tcPr>
          <w:p w14:paraId="501F5A2E" w14:textId="77777777" w:rsidR="00BC738B" w:rsidRPr="00953923" w:rsidRDefault="00BC738B" w:rsidP="002112CD">
            <w:pPr>
              <w:spacing w:before="60" w:after="60"/>
              <w:jc w:val="center"/>
              <w:rPr>
                <w:rFonts w:cs="Arial"/>
                <w:snapToGrid w:val="0"/>
              </w:rPr>
            </w:pPr>
            <w:r w:rsidRPr="00953923">
              <w:rPr>
                <w:rFonts w:cs="Arial"/>
                <w:snapToGrid w:val="0"/>
              </w:rPr>
              <w:t>Use</w:t>
            </w:r>
          </w:p>
        </w:tc>
      </w:tr>
      <w:tr w:rsidR="00BC738B" w:rsidRPr="00953923" w14:paraId="699FF931" w14:textId="77777777" w:rsidTr="00751EA2">
        <w:tc>
          <w:tcPr>
            <w:tcW w:w="5383" w:type="dxa"/>
          </w:tcPr>
          <w:p w14:paraId="13D929A5" w14:textId="77777777" w:rsidR="00751EA2" w:rsidRDefault="00BC738B" w:rsidP="002112CD">
            <w:pPr>
              <w:ind w:left="90"/>
              <w:jc w:val="left"/>
              <w:rPr>
                <w:rFonts w:cs="Arial"/>
                <w:snapToGrid w:val="0"/>
              </w:rPr>
            </w:pPr>
            <w:r w:rsidRPr="00953923">
              <w:rPr>
                <w:rFonts w:cs="Arial"/>
                <w:snapToGrid w:val="0"/>
              </w:rPr>
              <w:t xml:space="preserve">SS-1, SS-1h, RS-1, RS-2, CSS-1, CRS-1, CRS-2, CSS-1h, HFE-90, SS-1hP, CSS-1hP, </w:t>
            </w:r>
          </w:p>
          <w:p w14:paraId="13B9E116" w14:textId="36869DAB" w:rsidR="00BC738B" w:rsidRPr="00953923" w:rsidRDefault="006073CB" w:rsidP="002112CD">
            <w:pPr>
              <w:ind w:left="90"/>
              <w:jc w:val="left"/>
              <w:rPr>
                <w:rFonts w:cs="Arial"/>
                <w:snapToGrid w:val="0"/>
              </w:rPr>
            </w:pPr>
            <w:r>
              <w:rPr>
                <w:rFonts w:cs="Arial"/>
                <w:snapToGrid w:val="0"/>
              </w:rPr>
              <w:t>NTEA</w:t>
            </w:r>
            <w:r w:rsidR="00A150FC">
              <w:rPr>
                <w:rFonts w:cs="Arial"/>
                <w:snapToGrid w:val="0"/>
              </w:rPr>
              <w:t xml:space="preserve"> (</w:t>
            </w:r>
            <w:r w:rsidR="00751EA2">
              <w:rPr>
                <w:rFonts w:cs="Arial"/>
                <w:snapToGrid w:val="0"/>
              </w:rPr>
              <w:t xml:space="preserve">formerly </w:t>
            </w:r>
            <w:r w:rsidR="00A150FC">
              <w:rPr>
                <w:rFonts w:cs="Arial"/>
                <w:snapToGrid w:val="0"/>
              </w:rPr>
              <w:t>SS-1vh)</w:t>
            </w:r>
          </w:p>
        </w:tc>
        <w:tc>
          <w:tcPr>
            <w:tcW w:w="3600" w:type="dxa"/>
          </w:tcPr>
          <w:p w14:paraId="5CFCCF0C" w14:textId="418EFCD1" w:rsidR="00BC738B" w:rsidRPr="00953923" w:rsidRDefault="00BC738B" w:rsidP="002112CD">
            <w:pPr>
              <w:ind w:left="90"/>
              <w:jc w:val="left"/>
              <w:rPr>
                <w:rFonts w:cs="Arial"/>
                <w:snapToGrid w:val="0"/>
              </w:rPr>
            </w:pPr>
            <w:r w:rsidRPr="00953923">
              <w:rPr>
                <w:rFonts w:cs="Arial"/>
                <w:snapToGrid w:val="0"/>
              </w:rPr>
              <w:t xml:space="preserve">Tack </w:t>
            </w:r>
            <w:r w:rsidR="00A2555B">
              <w:rPr>
                <w:rFonts w:cs="Arial"/>
                <w:snapToGrid w:val="0"/>
              </w:rPr>
              <w:t>C</w:t>
            </w:r>
            <w:r w:rsidRPr="00953923">
              <w:rPr>
                <w:rFonts w:cs="Arial"/>
                <w:snapToGrid w:val="0"/>
              </w:rPr>
              <w:t>oat</w:t>
            </w:r>
          </w:p>
        </w:tc>
      </w:tr>
      <w:tr w:rsidR="00BC738B" w:rsidRPr="00953923" w14:paraId="314F182E" w14:textId="77777777" w:rsidTr="00751EA2">
        <w:tc>
          <w:tcPr>
            <w:tcW w:w="5383" w:type="dxa"/>
          </w:tcPr>
          <w:p w14:paraId="3927B3FA" w14:textId="77777777" w:rsidR="00BC738B" w:rsidRPr="00953923" w:rsidRDefault="00BC738B" w:rsidP="002112CD">
            <w:pPr>
              <w:ind w:left="90"/>
              <w:jc w:val="left"/>
              <w:rPr>
                <w:rFonts w:cs="Arial"/>
                <w:snapToGrid w:val="0"/>
              </w:rPr>
            </w:pPr>
            <w:r w:rsidRPr="00953923">
              <w:rPr>
                <w:rFonts w:cs="Arial"/>
                <w:snapToGrid w:val="0"/>
              </w:rPr>
              <w:t>PEP</w:t>
            </w:r>
          </w:p>
        </w:tc>
        <w:tc>
          <w:tcPr>
            <w:tcW w:w="3600" w:type="dxa"/>
          </w:tcPr>
          <w:p w14:paraId="43305C3B" w14:textId="2197C721" w:rsidR="00BC738B" w:rsidRPr="00953923" w:rsidRDefault="00BC738B" w:rsidP="002112CD">
            <w:pPr>
              <w:ind w:left="90"/>
              <w:jc w:val="left"/>
              <w:rPr>
                <w:rFonts w:cs="Arial"/>
                <w:snapToGrid w:val="0"/>
              </w:rPr>
            </w:pPr>
            <w:r w:rsidRPr="00953923">
              <w:rPr>
                <w:rFonts w:cs="Arial"/>
                <w:snapToGrid w:val="0"/>
              </w:rPr>
              <w:t>Prime Coat</w:t>
            </w:r>
          </w:p>
        </w:tc>
      </w:tr>
      <w:tr w:rsidR="00BC738B" w:rsidRPr="00953923" w14:paraId="2404302E" w14:textId="77777777" w:rsidTr="00751EA2">
        <w:trPr>
          <w:trHeight w:val="117"/>
        </w:trPr>
        <w:tc>
          <w:tcPr>
            <w:tcW w:w="5383" w:type="dxa"/>
            <w:tcBorders>
              <w:bottom w:val="single" w:sz="4" w:space="0" w:color="auto"/>
            </w:tcBorders>
          </w:tcPr>
          <w:p w14:paraId="5861A0C8" w14:textId="77777777" w:rsidR="00751EA2" w:rsidRDefault="00BC738B" w:rsidP="002112CD">
            <w:pPr>
              <w:ind w:left="90"/>
              <w:jc w:val="left"/>
              <w:rPr>
                <w:rFonts w:cs="Arial"/>
                <w:snapToGrid w:val="0"/>
              </w:rPr>
            </w:pPr>
            <w:r w:rsidRPr="00953923">
              <w:rPr>
                <w:rFonts w:cs="Arial"/>
                <w:snapToGrid w:val="0"/>
              </w:rPr>
              <w:t xml:space="preserve">RS-2, HFE-90, HFE-150, HFE-300, </w:t>
            </w:r>
          </w:p>
          <w:p w14:paraId="425F60E5" w14:textId="0C249AA0" w:rsidR="00BC738B" w:rsidRPr="00953923" w:rsidRDefault="00BC738B" w:rsidP="00751EA2">
            <w:pPr>
              <w:ind w:left="90"/>
              <w:jc w:val="left"/>
              <w:rPr>
                <w:rFonts w:cs="Arial"/>
                <w:snapToGrid w:val="0"/>
              </w:rPr>
            </w:pPr>
            <w:r w:rsidRPr="00953923">
              <w:rPr>
                <w:rFonts w:cs="Arial"/>
                <w:snapToGrid w:val="0"/>
              </w:rPr>
              <w:t>CRS</w:t>
            </w:r>
            <w:r w:rsidR="006302CB">
              <w:rPr>
                <w:rFonts w:cs="Arial"/>
                <w:snapToGrid w:val="0"/>
              </w:rPr>
              <w:t>-2P</w:t>
            </w:r>
            <w:r w:rsidR="004B6E6A">
              <w:rPr>
                <w:rFonts w:cs="Arial"/>
                <w:snapToGrid w:val="0"/>
              </w:rPr>
              <w:t xml:space="preserve"> (</w:t>
            </w:r>
            <w:r w:rsidR="00751EA2">
              <w:rPr>
                <w:rFonts w:cs="Arial"/>
                <w:snapToGrid w:val="0"/>
              </w:rPr>
              <w:t xml:space="preserve">formerly </w:t>
            </w:r>
            <w:r w:rsidR="004B6E6A">
              <w:rPr>
                <w:rFonts w:cs="Arial"/>
                <w:snapToGrid w:val="0"/>
              </w:rPr>
              <w:t>CRSP)</w:t>
            </w:r>
            <w:r w:rsidRPr="00953923">
              <w:rPr>
                <w:rFonts w:cs="Arial"/>
                <w:snapToGrid w:val="0"/>
              </w:rPr>
              <w:t>, HF</w:t>
            </w:r>
            <w:r w:rsidR="006302CB">
              <w:rPr>
                <w:rFonts w:cs="Arial"/>
                <w:snapToGrid w:val="0"/>
              </w:rPr>
              <w:t>RS-2P</w:t>
            </w:r>
            <w:r w:rsidR="004B6E6A">
              <w:rPr>
                <w:rFonts w:cs="Arial"/>
                <w:snapToGrid w:val="0"/>
              </w:rPr>
              <w:t xml:space="preserve"> (</w:t>
            </w:r>
            <w:r w:rsidR="00751EA2">
              <w:rPr>
                <w:rFonts w:cs="Arial"/>
                <w:snapToGrid w:val="0"/>
              </w:rPr>
              <w:t xml:space="preserve">formerly </w:t>
            </w:r>
            <w:r w:rsidR="004B6E6A">
              <w:rPr>
                <w:rFonts w:cs="Arial"/>
                <w:snapToGrid w:val="0"/>
              </w:rPr>
              <w:t>HFP)</w:t>
            </w:r>
            <w:r w:rsidRPr="00953923">
              <w:rPr>
                <w:rFonts w:cs="Arial"/>
                <w:snapToGrid w:val="0"/>
              </w:rPr>
              <w:t>, CRS-2, HFRS-2</w:t>
            </w:r>
          </w:p>
        </w:tc>
        <w:tc>
          <w:tcPr>
            <w:tcW w:w="3600" w:type="dxa"/>
            <w:tcBorders>
              <w:bottom w:val="single" w:sz="4" w:space="0" w:color="auto"/>
            </w:tcBorders>
          </w:tcPr>
          <w:p w14:paraId="60151645" w14:textId="4CEEAEB6" w:rsidR="00BC738B" w:rsidRPr="00953923" w:rsidRDefault="00BC738B" w:rsidP="002112CD">
            <w:pPr>
              <w:ind w:left="90"/>
              <w:jc w:val="left"/>
              <w:rPr>
                <w:rFonts w:cs="Arial"/>
                <w:snapToGrid w:val="0"/>
              </w:rPr>
            </w:pPr>
            <w:r w:rsidRPr="00953923">
              <w:rPr>
                <w:rFonts w:cs="Arial"/>
                <w:snapToGrid w:val="0"/>
              </w:rPr>
              <w:t xml:space="preserve">Bituminous </w:t>
            </w:r>
            <w:r w:rsidR="00A2555B">
              <w:rPr>
                <w:rFonts w:cs="Arial"/>
                <w:snapToGrid w:val="0"/>
              </w:rPr>
              <w:t>S</w:t>
            </w:r>
            <w:r w:rsidRPr="00953923">
              <w:rPr>
                <w:rFonts w:cs="Arial"/>
                <w:snapToGrid w:val="0"/>
              </w:rPr>
              <w:t xml:space="preserve">urface </w:t>
            </w:r>
            <w:r w:rsidR="00A2555B">
              <w:rPr>
                <w:rFonts w:cs="Arial"/>
                <w:snapToGrid w:val="0"/>
              </w:rPr>
              <w:t>T</w:t>
            </w:r>
            <w:r w:rsidRPr="00953923">
              <w:rPr>
                <w:rFonts w:cs="Arial"/>
                <w:snapToGrid w:val="0"/>
              </w:rPr>
              <w:t>reatment</w:t>
            </w:r>
          </w:p>
        </w:tc>
      </w:tr>
      <w:tr w:rsidR="00BC738B" w:rsidRPr="00953923" w14:paraId="1030B995" w14:textId="77777777" w:rsidTr="00751EA2">
        <w:tc>
          <w:tcPr>
            <w:tcW w:w="5383" w:type="dxa"/>
          </w:tcPr>
          <w:p w14:paraId="4FB929C1" w14:textId="6943B6D2" w:rsidR="00BC738B" w:rsidRPr="00953923" w:rsidRDefault="00BC738B" w:rsidP="002112CD">
            <w:pPr>
              <w:ind w:left="90"/>
              <w:jc w:val="left"/>
              <w:rPr>
                <w:rFonts w:cs="Arial"/>
                <w:snapToGrid w:val="0"/>
              </w:rPr>
            </w:pPr>
            <w:r w:rsidRPr="00953923">
              <w:rPr>
                <w:rFonts w:cs="Arial"/>
                <w:snapToGrid w:val="0"/>
              </w:rPr>
              <w:t>C</w:t>
            </w:r>
            <w:r w:rsidR="006302CB">
              <w:rPr>
                <w:rFonts w:cs="Arial"/>
                <w:snapToGrid w:val="0"/>
              </w:rPr>
              <w:t>QS-1h</w:t>
            </w:r>
            <w:r w:rsidR="00F7009A">
              <w:rPr>
                <w:rFonts w:cs="Arial"/>
                <w:snapToGrid w:val="0"/>
              </w:rPr>
              <w:t>P</w:t>
            </w:r>
            <w:r w:rsidR="004B6E6A">
              <w:rPr>
                <w:rFonts w:cs="Arial"/>
                <w:snapToGrid w:val="0"/>
              </w:rPr>
              <w:t xml:space="preserve"> (</w:t>
            </w:r>
            <w:r w:rsidR="00751EA2">
              <w:rPr>
                <w:rFonts w:cs="Arial"/>
                <w:snapToGrid w:val="0"/>
              </w:rPr>
              <w:t xml:space="preserve">formerly </w:t>
            </w:r>
            <w:r w:rsidR="004B6E6A">
              <w:rPr>
                <w:rFonts w:cs="Arial"/>
                <w:snapToGrid w:val="0"/>
              </w:rPr>
              <w:t>CSS-1h L</w:t>
            </w:r>
            <w:r w:rsidR="00751EA2">
              <w:rPr>
                <w:rFonts w:cs="Arial"/>
                <w:snapToGrid w:val="0"/>
              </w:rPr>
              <w:t xml:space="preserve">atex </w:t>
            </w:r>
            <w:r w:rsidR="004B6E6A">
              <w:rPr>
                <w:rFonts w:cs="Arial"/>
                <w:snapToGrid w:val="0"/>
              </w:rPr>
              <w:t>M</w:t>
            </w:r>
            <w:r w:rsidR="00751EA2">
              <w:rPr>
                <w:rFonts w:cs="Arial"/>
                <w:snapToGrid w:val="0"/>
              </w:rPr>
              <w:t>odified</w:t>
            </w:r>
            <w:r w:rsidR="004B6E6A">
              <w:rPr>
                <w:rFonts w:cs="Arial"/>
                <w:snapToGrid w:val="0"/>
              </w:rPr>
              <w:t>)</w:t>
            </w:r>
          </w:p>
        </w:tc>
        <w:tc>
          <w:tcPr>
            <w:tcW w:w="3600" w:type="dxa"/>
          </w:tcPr>
          <w:p w14:paraId="46DEA415" w14:textId="5C07D783" w:rsidR="00A2555B" w:rsidRDefault="00BC738B" w:rsidP="002112CD">
            <w:pPr>
              <w:ind w:left="90"/>
              <w:jc w:val="left"/>
              <w:rPr>
                <w:rFonts w:cs="Arial"/>
                <w:snapToGrid w:val="0"/>
              </w:rPr>
            </w:pPr>
            <w:r w:rsidRPr="00953923">
              <w:rPr>
                <w:rFonts w:cs="Arial"/>
                <w:snapToGrid w:val="0"/>
              </w:rPr>
              <w:t>Micro-</w:t>
            </w:r>
            <w:r w:rsidR="00A2555B">
              <w:rPr>
                <w:rFonts w:cs="Arial"/>
                <w:snapToGrid w:val="0"/>
              </w:rPr>
              <w:t>S</w:t>
            </w:r>
            <w:r w:rsidRPr="00953923">
              <w:rPr>
                <w:rFonts w:cs="Arial"/>
                <w:snapToGrid w:val="0"/>
              </w:rPr>
              <w:t>urfacing</w:t>
            </w:r>
          </w:p>
          <w:p w14:paraId="5CB40CF0" w14:textId="77777777" w:rsidR="00A2555B" w:rsidRDefault="00A2555B" w:rsidP="002112CD">
            <w:pPr>
              <w:ind w:left="90"/>
              <w:jc w:val="left"/>
              <w:rPr>
                <w:rFonts w:cs="Arial"/>
                <w:snapToGrid w:val="0"/>
              </w:rPr>
            </w:pPr>
            <w:r>
              <w:rPr>
                <w:rFonts w:cs="Arial"/>
                <w:snapToGrid w:val="0"/>
              </w:rPr>
              <w:t>Slurry Sealing</w:t>
            </w:r>
          </w:p>
          <w:p w14:paraId="0D83B12D" w14:textId="70F3E402" w:rsidR="00BC738B" w:rsidRPr="00953923" w:rsidRDefault="00A2555B" w:rsidP="002112CD">
            <w:pPr>
              <w:ind w:left="90"/>
              <w:jc w:val="left"/>
              <w:rPr>
                <w:rFonts w:cs="Arial"/>
                <w:snapToGrid w:val="0"/>
              </w:rPr>
            </w:pPr>
            <w:r>
              <w:rPr>
                <w:rFonts w:cs="Arial"/>
                <w:snapToGrid w:val="0"/>
              </w:rPr>
              <w:t>Cape Seal</w:t>
            </w:r>
            <w:r w:rsidR="00BD0A83">
              <w:rPr>
                <w:rFonts w:cs="Arial"/>
                <w:snapToGrid w:val="0"/>
              </w:rPr>
              <w:t>”</w:t>
            </w:r>
          </w:p>
        </w:tc>
      </w:tr>
    </w:tbl>
    <w:p w14:paraId="384C3F61" w14:textId="77777777" w:rsidR="00BC738B" w:rsidRPr="00953923" w:rsidRDefault="00BC738B" w:rsidP="00B7371A">
      <w:pPr>
        <w:rPr>
          <w:rFonts w:cs="Arial"/>
          <w:snapToGrid w:val="0"/>
        </w:rPr>
      </w:pPr>
    </w:p>
    <w:bookmarkEnd w:id="1"/>
    <w:p w14:paraId="56144790" w14:textId="77777777" w:rsidR="008D3286" w:rsidRDefault="008D3286" w:rsidP="008D3286">
      <w:pPr>
        <w:rPr>
          <w:rFonts w:cs="Arial"/>
        </w:rPr>
      </w:pPr>
    </w:p>
    <w:p w14:paraId="630A304F" w14:textId="7690E2D1" w:rsidR="00EF2EF5" w:rsidRDefault="007E4ADC" w:rsidP="0091500C">
      <w:pPr>
        <w:rPr>
          <w:rFonts w:cs="Arial"/>
        </w:rPr>
      </w:pPr>
      <w:r>
        <w:rPr>
          <w:rFonts w:cs="Arial"/>
        </w:rPr>
        <w:t>804</w:t>
      </w:r>
      <w:r w:rsidR="00E567BD">
        <w:rPr>
          <w:rFonts w:cs="Arial"/>
        </w:rPr>
        <w:t>15</w:t>
      </w:r>
    </w:p>
    <w:sectPr w:rsidR="00EF2EF5" w:rsidSect="00181357">
      <w:headerReference w:type="even" r:id="rId8"/>
      <w:footerReference w:type="even" r:id="rId9"/>
      <w:headerReference w:type="first" r:id="rId10"/>
      <w:footerReference w:type="first" r:id="rId11"/>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3018" w14:textId="77777777" w:rsidR="00C05C8A" w:rsidRDefault="00C05C8A">
      <w:r>
        <w:separator/>
      </w:r>
    </w:p>
  </w:endnote>
  <w:endnote w:type="continuationSeparator" w:id="0">
    <w:p w14:paraId="7032DB3A" w14:textId="77777777" w:rsidR="00C05C8A" w:rsidRDefault="00C05C8A">
      <w:r>
        <w:continuationSeparator/>
      </w:r>
    </w:p>
  </w:endnote>
  <w:endnote w:type="continuationNotice" w:id="1">
    <w:p w14:paraId="3165DFFD" w14:textId="77777777" w:rsidR="00C05C8A" w:rsidRDefault="00C05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DD39" w14:textId="77777777" w:rsidR="002112CD" w:rsidRDefault="00211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D781" w14:textId="77777777" w:rsidR="002112CD" w:rsidRDefault="0021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D084" w14:textId="77777777" w:rsidR="00C05C8A" w:rsidRDefault="00C05C8A">
      <w:r>
        <w:separator/>
      </w:r>
    </w:p>
  </w:footnote>
  <w:footnote w:type="continuationSeparator" w:id="0">
    <w:p w14:paraId="1920902B" w14:textId="77777777" w:rsidR="00C05C8A" w:rsidRDefault="00C05C8A">
      <w:r>
        <w:continuationSeparator/>
      </w:r>
    </w:p>
  </w:footnote>
  <w:footnote w:type="continuationNotice" w:id="1">
    <w:p w14:paraId="7E6F65B9" w14:textId="77777777" w:rsidR="00C05C8A" w:rsidRDefault="00C05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18B1" w14:textId="77777777" w:rsidR="002112CD" w:rsidRDefault="00211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D1F6" w14:textId="77777777" w:rsidR="002112CD" w:rsidRDefault="00211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93EB9"/>
    <w:multiLevelType w:val="hybridMultilevel"/>
    <w:tmpl w:val="3D5A0D32"/>
    <w:lvl w:ilvl="0" w:tplc="A8347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250D67"/>
    <w:multiLevelType w:val="hybridMultilevel"/>
    <w:tmpl w:val="E34467E0"/>
    <w:lvl w:ilvl="0" w:tplc="7CF40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733D9"/>
    <w:multiLevelType w:val="hybridMultilevel"/>
    <w:tmpl w:val="AC04A0A2"/>
    <w:lvl w:ilvl="0" w:tplc="6D943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EC4F6B"/>
    <w:multiLevelType w:val="hybridMultilevel"/>
    <w:tmpl w:val="98883F5A"/>
    <w:lvl w:ilvl="0" w:tplc="B3B6C066">
      <w:start w:val="1"/>
      <w:numFmt w:val="lowerLetter"/>
      <w:pStyle w:val="ListBullet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62"/>
    <w:rsid w:val="0000248B"/>
    <w:rsid w:val="00002604"/>
    <w:rsid w:val="00004146"/>
    <w:rsid w:val="000047B9"/>
    <w:rsid w:val="00005777"/>
    <w:rsid w:val="0000601B"/>
    <w:rsid w:val="000065C1"/>
    <w:rsid w:val="000068CE"/>
    <w:rsid w:val="00006976"/>
    <w:rsid w:val="00010F94"/>
    <w:rsid w:val="00011902"/>
    <w:rsid w:val="00012699"/>
    <w:rsid w:val="000166FD"/>
    <w:rsid w:val="00022791"/>
    <w:rsid w:val="00022DE4"/>
    <w:rsid w:val="00022F58"/>
    <w:rsid w:val="000232A2"/>
    <w:rsid w:val="000246FB"/>
    <w:rsid w:val="0002669E"/>
    <w:rsid w:val="00026C36"/>
    <w:rsid w:val="0003219E"/>
    <w:rsid w:val="00033E74"/>
    <w:rsid w:val="00035F07"/>
    <w:rsid w:val="000360A5"/>
    <w:rsid w:val="000364E4"/>
    <w:rsid w:val="00043028"/>
    <w:rsid w:val="0004330F"/>
    <w:rsid w:val="0004779D"/>
    <w:rsid w:val="00050892"/>
    <w:rsid w:val="00051CC0"/>
    <w:rsid w:val="000533FA"/>
    <w:rsid w:val="00054106"/>
    <w:rsid w:val="00055727"/>
    <w:rsid w:val="00055F5B"/>
    <w:rsid w:val="00057CD9"/>
    <w:rsid w:val="0006081D"/>
    <w:rsid w:val="0006185A"/>
    <w:rsid w:val="00064DAA"/>
    <w:rsid w:val="000660C9"/>
    <w:rsid w:val="00073324"/>
    <w:rsid w:val="00074AD2"/>
    <w:rsid w:val="00076A6D"/>
    <w:rsid w:val="00083903"/>
    <w:rsid w:val="00084127"/>
    <w:rsid w:val="00084DC0"/>
    <w:rsid w:val="0008689E"/>
    <w:rsid w:val="00091533"/>
    <w:rsid w:val="000921B9"/>
    <w:rsid w:val="00092BFC"/>
    <w:rsid w:val="00093E4F"/>
    <w:rsid w:val="00096C74"/>
    <w:rsid w:val="00097A32"/>
    <w:rsid w:val="00097A75"/>
    <w:rsid w:val="000A0919"/>
    <w:rsid w:val="000A18C0"/>
    <w:rsid w:val="000A2F48"/>
    <w:rsid w:val="000A399D"/>
    <w:rsid w:val="000A4466"/>
    <w:rsid w:val="000A4658"/>
    <w:rsid w:val="000A6088"/>
    <w:rsid w:val="000A69BA"/>
    <w:rsid w:val="000B1828"/>
    <w:rsid w:val="000B591B"/>
    <w:rsid w:val="000B6C3D"/>
    <w:rsid w:val="000B6FAB"/>
    <w:rsid w:val="000C0C1B"/>
    <w:rsid w:val="000C235C"/>
    <w:rsid w:val="000C4BF6"/>
    <w:rsid w:val="000C67E3"/>
    <w:rsid w:val="000C6FE6"/>
    <w:rsid w:val="000D0786"/>
    <w:rsid w:val="000D162F"/>
    <w:rsid w:val="000D1C87"/>
    <w:rsid w:val="000D3643"/>
    <w:rsid w:val="000D4594"/>
    <w:rsid w:val="000D4E09"/>
    <w:rsid w:val="000D589D"/>
    <w:rsid w:val="000D5F65"/>
    <w:rsid w:val="000E1F0E"/>
    <w:rsid w:val="000E27D6"/>
    <w:rsid w:val="000E3653"/>
    <w:rsid w:val="000E4D1B"/>
    <w:rsid w:val="000E6B3A"/>
    <w:rsid w:val="000E711B"/>
    <w:rsid w:val="000F61FA"/>
    <w:rsid w:val="00100792"/>
    <w:rsid w:val="00103E09"/>
    <w:rsid w:val="00107B08"/>
    <w:rsid w:val="00110B41"/>
    <w:rsid w:val="0011121B"/>
    <w:rsid w:val="001131FB"/>
    <w:rsid w:val="0011646B"/>
    <w:rsid w:val="00117492"/>
    <w:rsid w:val="0012028C"/>
    <w:rsid w:val="00121535"/>
    <w:rsid w:val="00122C42"/>
    <w:rsid w:val="00123BB4"/>
    <w:rsid w:val="00130BCF"/>
    <w:rsid w:val="00130D75"/>
    <w:rsid w:val="00131514"/>
    <w:rsid w:val="0013203E"/>
    <w:rsid w:val="00132DBA"/>
    <w:rsid w:val="00134B91"/>
    <w:rsid w:val="00137D3F"/>
    <w:rsid w:val="00151015"/>
    <w:rsid w:val="00151394"/>
    <w:rsid w:val="0015253C"/>
    <w:rsid w:val="001534AC"/>
    <w:rsid w:val="00153A74"/>
    <w:rsid w:val="001550D1"/>
    <w:rsid w:val="00157A4D"/>
    <w:rsid w:val="001636D2"/>
    <w:rsid w:val="00163C49"/>
    <w:rsid w:val="0017064B"/>
    <w:rsid w:val="00170FD2"/>
    <w:rsid w:val="00172E58"/>
    <w:rsid w:val="001736BC"/>
    <w:rsid w:val="0017412C"/>
    <w:rsid w:val="00180E4D"/>
    <w:rsid w:val="00181357"/>
    <w:rsid w:val="001819EE"/>
    <w:rsid w:val="001839C1"/>
    <w:rsid w:val="001858BD"/>
    <w:rsid w:val="00185DD9"/>
    <w:rsid w:val="00187260"/>
    <w:rsid w:val="00190994"/>
    <w:rsid w:val="00192C07"/>
    <w:rsid w:val="00194CB6"/>
    <w:rsid w:val="00196391"/>
    <w:rsid w:val="00196A1D"/>
    <w:rsid w:val="001A1FAB"/>
    <w:rsid w:val="001A2BDD"/>
    <w:rsid w:val="001A3782"/>
    <w:rsid w:val="001A3A9E"/>
    <w:rsid w:val="001A56EC"/>
    <w:rsid w:val="001A6205"/>
    <w:rsid w:val="001A6BD0"/>
    <w:rsid w:val="001B0F9A"/>
    <w:rsid w:val="001B2C23"/>
    <w:rsid w:val="001B3759"/>
    <w:rsid w:val="001B6516"/>
    <w:rsid w:val="001C009A"/>
    <w:rsid w:val="001C177C"/>
    <w:rsid w:val="001C231D"/>
    <w:rsid w:val="001C5059"/>
    <w:rsid w:val="001C6D3B"/>
    <w:rsid w:val="001D09A2"/>
    <w:rsid w:val="001D160A"/>
    <w:rsid w:val="001D1DE2"/>
    <w:rsid w:val="001D398A"/>
    <w:rsid w:val="001D401F"/>
    <w:rsid w:val="001D7023"/>
    <w:rsid w:val="001E0099"/>
    <w:rsid w:val="001E314C"/>
    <w:rsid w:val="001E52C5"/>
    <w:rsid w:val="001E617D"/>
    <w:rsid w:val="001E783E"/>
    <w:rsid w:val="001F0181"/>
    <w:rsid w:val="001F13C9"/>
    <w:rsid w:val="001F176A"/>
    <w:rsid w:val="001F26E6"/>
    <w:rsid w:val="001F397F"/>
    <w:rsid w:val="001F3F95"/>
    <w:rsid w:val="001F5E84"/>
    <w:rsid w:val="001F655C"/>
    <w:rsid w:val="00201A0D"/>
    <w:rsid w:val="00202CC4"/>
    <w:rsid w:val="00202D34"/>
    <w:rsid w:val="00204208"/>
    <w:rsid w:val="00205A8B"/>
    <w:rsid w:val="002066CE"/>
    <w:rsid w:val="00210343"/>
    <w:rsid w:val="00210B82"/>
    <w:rsid w:val="002112CD"/>
    <w:rsid w:val="0021193E"/>
    <w:rsid w:val="0021216B"/>
    <w:rsid w:val="00215BF0"/>
    <w:rsid w:val="002210EA"/>
    <w:rsid w:val="0022141B"/>
    <w:rsid w:val="00222889"/>
    <w:rsid w:val="002241AE"/>
    <w:rsid w:val="002252E7"/>
    <w:rsid w:val="00226119"/>
    <w:rsid w:val="00226163"/>
    <w:rsid w:val="00226D80"/>
    <w:rsid w:val="00227072"/>
    <w:rsid w:val="00227814"/>
    <w:rsid w:val="00232D9E"/>
    <w:rsid w:val="00233FFB"/>
    <w:rsid w:val="00236F52"/>
    <w:rsid w:val="00237DFE"/>
    <w:rsid w:val="00240778"/>
    <w:rsid w:val="00245AB6"/>
    <w:rsid w:val="002460E2"/>
    <w:rsid w:val="00250CA3"/>
    <w:rsid w:val="00250EFF"/>
    <w:rsid w:val="00252E71"/>
    <w:rsid w:val="00252F9A"/>
    <w:rsid w:val="00254AE7"/>
    <w:rsid w:val="00255AD9"/>
    <w:rsid w:val="00255FA9"/>
    <w:rsid w:val="00257AC5"/>
    <w:rsid w:val="00261480"/>
    <w:rsid w:val="0026314D"/>
    <w:rsid w:val="002672F9"/>
    <w:rsid w:val="002701F8"/>
    <w:rsid w:val="0027345A"/>
    <w:rsid w:val="00275451"/>
    <w:rsid w:val="00276406"/>
    <w:rsid w:val="00280884"/>
    <w:rsid w:val="0028335A"/>
    <w:rsid w:val="002839F7"/>
    <w:rsid w:val="00285D97"/>
    <w:rsid w:val="0028757E"/>
    <w:rsid w:val="0029347E"/>
    <w:rsid w:val="00294FD3"/>
    <w:rsid w:val="002952B0"/>
    <w:rsid w:val="00295C8B"/>
    <w:rsid w:val="00296744"/>
    <w:rsid w:val="002A11AA"/>
    <w:rsid w:val="002A2DBB"/>
    <w:rsid w:val="002A30A1"/>
    <w:rsid w:val="002A3A1D"/>
    <w:rsid w:val="002A5FBB"/>
    <w:rsid w:val="002B2B20"/>
    <w:rsid w:val="002B595E"/>
    <w:rsid w:val="002B5A7C"/>
    <w:rsid w:val="002B7A98"/>
    <w:rsid w:val="002C0A40"/>
    <w:rsid w:val="002C1E05"/>
    <w:rsid w:val="002C2392"/>
    <w:rsid w:val="002C2433"/>
    <w:rsid w:val="002C2B9D"/>
    <w:rsid w:val="002C631E"/>
    <w:rsid w:val="002D1CBE"/>
    <w:rsid w:val="002E1741"/>
    <w:rsid w:val="002E17C7"/>
    <w:rsid w:val="002E33DE"/>
    <w:rsid w:val="002E5A48"/>
    <w:rsid w:val="002F0AFA"/>
    <w:rsid w:val="002F21A8"/>
    <w:rsid w:val="002F35D1"/>
    <w:rsid w:val="002F5067"/>
    <w:rsid w:val="002F78E4"/>
    <w:rsid w:val="002F792A"/>
    <w:rsid w:val="00300059"/>
    <w:rsid w:val="0030335A"/>
    <w:rsid w:val="00303903"/>
    <w:rsid w:val="00306B38"/>
    <w:rsid w:val="00311181"/>
    <w:rsid w:val="0031134B"/>
    <w:rsid w:val="00316BBC"/>
    <w:rsid w:val="00316EE7"/>
    <w:rsid w:val="003277EC"/>
    <w:rsid w:val="00330BE1"/>
    <w:rsid w:val="00333830"/>
    <w:rsid w:val="00333CF2"/>
    <w:rsid w:val="00334A7A"/>
    <w:rsid w:val="00336CC3"/>
    <w:rsid w:val="00337EF9"/>
    <w:rsid w:val="0034054F"/>
    <w:rsid w:val="00341DF4"/>
    <w:rsid w:val="0034240B"/>
    <w:rsid w:val="003437E4"/>
    <w:rsid w:val="0034457C"/>
    <w:rsid w:val="00344984"/>
    <w:rsid w:val="00345F4C"/>
    <w:rsid w:val="00346F26"/>
    <w:rsid w:val="00350E50"/>
    <w:rsid w:val="00353681"/>
    <w:rsid w:val="003542ED"/>
    <w:rsid w:val="003564EB"/>
    <w:rsid w:val="00360F01"/>
    <w:rsid w:val="00362883"/>
    <w:rsid w:val="003628ED"/>
    <w:rsid w:val="003634F8"/>
    <w:rsid w:val="00363693"/>
    <w:rsid w:val="003647F7"/>
    <w:rsid w:val="0036566F"/>
    <w:rsid w:val="0037328A"/>
    <w:rsid w:val="003737DC"/>
    <w:rsid w:val="00376DD2"/>
    <w:rsid w:val="00377265"/>
    <w:rsid w:val="00377517"/>
    <w:rsid w:val="003823CB"/>
    <w:rsid w:val="00386555"/>
    <w:rsid w:val="00387DF7"/>
    <w:rsid w:val="003910AF"/>
    <w:rsid w:val="003910FC"/>
    <w:rsid w:val="003A1597"/>
    <w:rsid w:val="003A2CFE"/>
    <w:rsid w:val="003A4B15"/>
    <w:rsid w:val="003A62EF"/>
    <w:rsid w:val="003A6BD6"/>
    <w:rsid w:val="003A6E89"/>
    <w:rsid w:val="003A7315"/>
    <w:rsid w:val="003B0D2A"/>
    <w:rsid w:val="003B1508"/>
    <w:rsid w:val="003B2D89"/>
    <w:rsid w:val="003B30F2"/>
    <w:rsid w:val="003B7F93"/>
    <w:rsid w:val="003C0061"/>
    <w:rsid w:val="003C07C2"/>
    <w:rsid w:val="003C563B"/>
    <w:rsid w:val="003C6CC8"/>
    <w:rsid w:val="003D08BF"/>
    <w:rsid w:val="003D1BC1"/>
    <w:rsid w:val="003D1E68"/>
    <w:rsid w:val="003D319F"/>
    <w:rsid w:val="003D3844"/>
    <w:rsid w:val="003D3AA8"/>
    <w:rsid w:val="003D61DF"/>
    <w:rsid w:val="003D6CD4"/>
    <w:rsid w:val="003D787A"/>
    <w:rsid w:val="003E2341"/>
    <w:rsid w:val="003E28FC"/>
    <w:rsid w:val="003E2A36"/>
    <w:rsid w:val="003E2FC5"/>
    <w:rsid w:val="003E47E9"/>
    <w:rsid w:val="003F01EB"/>
    <w:rsid w:val="003F1094"/>
    <w:rsid w:val="003F4C93"/>
    <w:rsid w:val="003F5559"/>
    <w:rsid w:val="003F59C5"/>
    <w:rsid w:val="003F6895"/>
    <w:rsid w:val="003F74C1"/>
    <w:rsid w:val="003F7E8F"/>
    <w:rsid w:val="00402B4D"/>
    <w:rsid w:val="0040323E"/>
    <w:rsid w:val="00404271"/>
    <w:rsid w:val="00404A2D"/>
    <w:rsid w:val="00405F5B"/>
    <w:rsid w:val="00407D99"/>
    <w:rsid w:val="00410984"/>
    <w:rsid w:val="0041108E"/>
    <w:rsid w:val="00415E8B"/>
    <w:rsid w:val="004175A6"/>
    <w:rsid w:val="00422918"/>
    <w:rsid w:val="004231A0"/>
    <w:rsid w:val="0042361D"/>
    <w:rsid w:val="00423984"/>
    <w:rsid w:val="00424DE6"/>
    <w:rsid w:val="00425663"/>
    <w:rsid w:val="00426EC8"/>
    <w:rsid w:val="00426FB1"/>
    <w:rsid w:val="004307F2"/>
    <w:rsid w:val="00430BEB"/>
    <w:rsid w:val="00435F32"/>
    <w:rsid w:val="00436B80"/>
    <w:rsid w:val="00444B6E"/>
    <w:rsid w:val="004472ED"/>
    <w:rsid w:val="00452B1E"/>
    <w:rsid w:val="004532CE"/>
    <w:rsid w:val="00453D6E"/>
    <w:rsid w:val="00455E36"/>
    <w:rsid w:val="004566A6"/>
    <w:rsid w:val="00456B69"/>
    <w:rsid w:val="00457A2E"/>
    <w:rsid w:val="00457CA7"/>
    <w:rsid w:val="00460E72"/>
    <w:rsid w:val="0046140C"/>
    <w:rsid w:val="00461413"/>
    <w:rsid w:val="004616BA"/>
    <w:rsid w:val="00462D7A"/>
    <w:rsid w:val="00464059"/>
    <w:rsid w:val="00465110"/>
    <w:rsid w:val="0046548D"/>
    <w:rsid w:val="004666B3"/>
    <w:rsid w:val="00467918"/>
    <w:rsid w:val="00472240"/>
    <w:rsid w:val="0047286D"/>
    <w:rsid w:val="00472FFA"/>
    <w:rsid w:val="00473462"/>
    <w:rsid w:val="00474465"/>
    <w:rsid w:val="0047463A"/>
    <w:rsid w:val="00481BEA"/>
    <w:rsid w:val="004823CF"/>
    <w:rsid w:val="00482D08"/>
    <w:rsid w:val="00482DFB"/>
    <w:rsid w:val="00483112"/>
    <w:rsid w:val="0048443F"/>
    <w:rsid w:val="00486B81"/>
    <w:rsid w:val="0049327E"/>
    <w:rsid w:val="00496ABC"/>
    <w:rsid w:val="004972BD"/>
    <w:rsid w:val="00497A70"/>
    <w:rsid w:val="004A2D2A"/>
    <w:rsid w:val="004A5CC8"/>
    <w:rsid w:val="004A79CC"/>
    <w:rsid w:val="004B18C5"/>
    <w:rsid w:val="004B3DBE"/>
    <w:rsid w:val="004B6E6A"/>
    <w:rsid w:val="004C0EB3"/>
    <w:rsid w:val="004C1B0D"/>
    <w:rsid w:val="004C255F"/>
    <w:rsid w:val="004C63B2"/>
    <w:rsid w:val="004C67A4"/>
    <w:rsid w:val="004C7358"/>
    <w:rsid w:val="004D1C01"/>
    <w:rsid w:val="004D1DD3"/>
    <w:rsid w:val="004D2AF7"/>
    <w:rsid w:val="004D4B16"/>
    <w:rsid w:val="004D727B"/>
    <w:rsid w:val="004D7F28"/>
    <w:rsid w:val="004E013A"/>
    <w:rsid w:val="004E0231"/>
    <w:rsid w:val="004E0D63"/>
    <w:rsid w:val="004E358F"/>
    <w:rsid w:val="004E6F16"/>
    <w:rsid w:val="004F2E98"/>
    <w:rsid w:val="004F54E1"/>
    <w:rsid w:val="004F6CE7"/>
    <w:rsid w:val="005008CA"/>
    <w:rsid w:val="0050582A"/>
    <w:rsid w:val="00510691"/>
    <w:rsid w:val="0051186F"/>
    <w:rsid w:val="00512B58"/>
    <w:rsid w:val="00512F21"/>
    <w:rsid w:val="00513B75"/>
    <w:rsid w:val="00514BE1"/>
    <w:rsid w:val="00515F73"/>
    <w:rsid w:val="00517177"/>
    <w:rsid w:val="0052314E"/>
    <w:rsid w:val="0052325B"/>
    <w:rsid w:val="005309A6"/>
    <w:rsid w:val="00530BC8"/>
    <w:rsid w:val="005333DC"/>
    <w:rsid w:val="0053461C"/>
    <w:rsid w:val="0053693B"/>
    <w:rsid w:val="00540C31"/>
    <w:rsid w:val="00541696"/>
    <w:rsid w:val="0054231C"/>
    <w:rsid w:val="00542350"/>
    <w:rsid w:val="0054684A"/>
    <w:rsid w:val="00547143"/>
    <w:rsid w:val="005473EB"/>
    <w:rsid w:val="0055025B"/>
    <w:rsid w:val="00550CED"/>
    <w:rsid w:val="0055245C"/>
    <w:rsid w:val="00553937"/>
    <w:rsid w:val="00555C21"/>
    <w:rsid w:val="0056079B"/>
    <w:rsid w:val="005612C1"/>
    <w:rsid w:val="0056171A"/>
    <w:rsid w:val="00563712"/>
    <w:rsid w:val="00565C0A"/>
    <w:rsid w:val="005667C0"/>
    <w:rsid w:val="00567D72"/>
    <w:rsid w:val="0057000A"/>
    <w:rsid w:val="00571179"/>
    <w:rsid w:val="005729AF"/>
    <w:rsid w:val="005758DA"/>
    <w:rsid w:val="0057693D"/>
    <w:rsid w:val="00580EE2"/>
    <w:rsid w:val="0058164C"/>
    <w:rsid w:val="00586110"/>
    <w:rsid w:val="0059156C"/>
    <w:rsid w:val="00592681"/>
    <w:rsid w:val="005969E9"/>
    <w:rsid w:val="005A01D5"/>
    <w:rsid w:val="005A283D"/>
    <w:rsid w:val="005A2AAA"/>
    <w:rsid w:val="005A39AE"/>
    <w:rsid w:val="005A5C19"/>
    <w:rsid w:val="005A6FE0"/>
    <w:rsid w:val="005B0269"/>
    <w:rsid w:val="005B1517"/>
    <w:rsid w:val="005B2F1B"/>
    <w:rsid w:val="005B3060"/>
    <w:rsid w:val="005B4F42"/>
    <w:rsid w:val="005B75AF"/>
    <w:rsid w:val="005C0144"/>
    <w:rsid w:val="005C1972"/>
    <w:rsid w:val="005C7AA6"/>
    <w:rsid w:val="005D1F46"/>
    <w:rsid w:val="005D695B"/>
    <w:rsid w:val="005D70FC"/>
    <w:rsid w:val="005D7F0E"/>
    <w:rsid w:val="005E07DB"/>
    <w:rsid w:val="005E1552"/>
    <w:rsid w:val="005E1D94"/>
    <w:rsid w:val="005E299C"/>
    <w:rsid w:val="005E315F"/>
    <w:rsid w:val="005E5387"/>
    <w:rsid w:val="005E7304"/>
    <w:rsid w:val="005E752E"/>
    <w:rsid w:val="005F5E98"/>
    <w:rsid w:val="006011DE"/>
    <w:rsid w:val="00602380"/>
    <w:rsid w:val="00603104"/>
    <w:rsid w:val="00604BC5"/>
    <w:rsid w:val="006073CB"/>
    <w:rsid w:val="006134A0"/>
    <w:rsid w:val="00622ADA"/>
    <w:rsid w:val="0062425A"/>
    <w:rsid w:val="006256AE"/>
    <w:rsid w:val="00626C60"/>
    <w:rsid w:val="00627C63"/>
    <w:rsid w:val="00627CE1"/>
    <w:rsid w:val="006302CB"/>
    <w:rsid w:val="006333C3"/>
    <w:rsid w:val="0064018F"/>
    <w:rsid w:val="00642198"/>
    <w:rsid w:val="00642A85"/>
    <w:rsid w:val="006447BB"/>
    <w:rsid w:val="00645371"/>
    <w:rsid w:val="00645EBC"/>
    <w:rsid w:val="00647605"/>
    <w:rsid w:val="00654D17"/>
    <w:rsid w:val="0065543A"/>
    <w:rsid w:val="006555C7"/>
    <w:rsid w:val="00656248"/>
    <w:rsid w:val="006569BF"/>
    <w:rsid w:val="006656CC"/>
    <w:rsid w:val="00667694"/>
    <w:rsid w:val="00670103"/>
    <w:rsid w:val="00670CE7"/>
    <w:rsid w:val="00674479"/>
    <w:rsid w:val="00674A35"/>
    <w:rsid w:val="00675CD6"/>
    <w:rsid w:val="006760D9"/>
    <w:rsid w:val="006807C7"/>
    <w:rsid w:val="0068221A"/>
    <w:rsid w:val="00682A62"/>
    <w:rsid w:val="00682EDD"/>
    <w:rsid w:val="00684AC4"/>
    <w:rsid w:val="00685011"/>
    <w:rsid w:val="00685BCC"/>
    <w:rsid w:val="00695FBF"/>
    <w:rsid w:val="0069687F"/>
    <w:rsid w:val="00697D2A"/>
    <w:rsid w:val="006A04F7"/>
    <w:rsid w:val="006A0BF5"/>
    <w:rsid w:val="006A2983"/>
    <w:rsid w:val="006A2DE6"/>
    <w:rsid w:val="006A4711"/>
    <w:rsid w:val="006A5349"/>
    <w:rsid w:val="006B030F"/>
    <w:rsid w:val="006B2AEC"/>
    <w:rsid w:val="006B5450"/>
    <w:rsid w:val="006C44EF"/>
    <w:rsid w:val="006C52A9"/>
    <w:rsid w:val="006C6700"/>
    <w:rsid w:val="006C67C3"/>
    <w:rsid w:val="006D2520"/>
    <w:rsid w:val="006D47CE"/>
    <w:rsid w:val="006D5996"/>
    <w:rsid w:val="006D64F2"/>
    <w:rsid w:val="006D6983"/>
    <w:rsid w:val="006E06E4"/>
    <w:rsid w:val="006E0799"/>
    <w:rsid w:val="006E0A43"/>
    <w:rsid w:val="006E377A"/>
    <w:rsid w:val="006E569C"/>
    <w:rsid w:val="006F0167"/>
    <w:rsid w:val="006F164F"/>
    <w:rsid w:val="006F2A62"/>
    <w:rsid w:val="006F3F06"/>
    <w:rsid w:val="006F699F"/>
    <w:rsid w:val="006F7A64"/>
    <w:rsid w:val="006F7CDC"/>
    <w:rsid w:val="0070325A"/>
    <w:rsid w:val="00703D09"/>
    <w:rsid w:val="00704A51"/>
    <w:rsid w:val="00704FC2"/>
    <w:rsid w:val="00707139"/>
    <w:rsid w:val="00707DB4"/>
    <w:rsid w:val="0071327D"/>
    <w:rsid w:val="0071577D"/>
    <w:rsid w:val="00716229"/>
    <w:rsid w:val="00716D18"/>
    <w:rsid w:val="00720046"/>
    <w:rsid w:val="00720907"/>
    <w:rsid w:val="00721634"/>
    <w:rsid w:val="00721EBF"/>
    <w:rsid w:val="007253CC"/>
    <w:rsid w:val="00727F5E"/>
    <w:rsid w:val="00731F94"/>
    <w:rsid w:val="007371BA"/>
    <w:rsid w:val="00740ABD"/>
    <w:rsid w:val="00741E02"/>
    <w:rsid w:val="007445AF"/>
    <w:rsid w:val="00744B29"/>
    <w:rsid w:val="0074634A"/>
    <w:rsid w:val="007466BF"/>
    <w:rsid w:val="00746FC6"/>
    <w:rsid w:val="00747421"/>
    <w:rsid w:val="00751EA2"/>
    <w:rsid w:val="00753E41"/>
    <w:rsid w:val="00754661"/>
    <w:rsid w:val="0075568F"/>
    <w:rsid w:val="00760DD4"/>
    <w:rsid w:val="00760FCF"/>
    <w:rsid w:val="00764062"/>
    <w:rsid w:val="00767FE0"/>
    <w:rsid w:val="00770231"/>
    <w:rsid w:val="007715C4"/>
    <w:rsid w:val="00773F66"/>
    <w:rsid w:val="007745FA"/>
    <w:rsid w:val="00774971"/>
    <w:rsid w:val="00777264"/>
    <w:rsid w:val="007776CF"/>
    <w:rsid w:val="00780E25"/>
    <w:rsid w:val="00780F1C"/>
    <w:rsid w:val="00783363"/>
    <w:rsid w:val="00784778"/>
    <w:rsid w:val="007861E3"/>
    <w:rsid w:val="00786419"/>
    <w:rsid w:val="0078750E"/>
    <w:rsid w:val="00791B52"/>
    <w:rsid w:val="007932AB"/>
    <w:rsid w:val="00793961"/>
    <w:rsid w:val="00795ADF"/>
    <w:rsid w:val="00796C0D"/>
    <w:rsid w:val="007A01F0"/>
    <w:rsid w:val="007A207C"/>
    <w:rsid w:val="007A2779"/>
    <w:rsid w:val="007A4E2F"/>
    <w:rsid w:val="007A5C1C"/>
    <w:rsid w:val="007A638F"/>
    <w:rsid w:val="007A69BA"/>
    <w:rsid w:val="007A7A92"/>
    <w:rsid w:val="007B1547"/>
    <w:rsid w:val="007B241D"/>
    <w:rsid w:val="007B3CBA"/>
    <w:rsid w:val="007B4B7D"/>
    <w:rsid w:val="007B65E2"/>
    <w:rsid w:val="007B6CD9"/>
    <w:rsid w:val="007C02FD"/>
    <w:rsid w:val="007C4190"/>
    <w:rsid w:val="007C7697"/>
    <w:rsid w:val="007D082E"/>
    <w:rsid w:val="007D152E"/>
    <w:rsid w:val="007D1F22"/>
    <w:rsid w:val="007D2618"/>
    <w:rsid w:val="007D4F59"/>
    <w:rsid w:val="007D7268"/>
    <w:rsid w:val="007D75F3"/>
    <w:rsid w:val="007E0534"/>
    <w:rsid w:val="007E1362"/>
    <w:rsid w:val="007E1677"/>
    <w:rsid w:val="007E2B56"/>
    <w:rsid w:val="007E2D13"/>
    <w:rsid w:val="007E35C9"/>
    <w:rsid w:val="007E36BE"/>
    <w:rsid w:val="007E4ADC"/>
    <w:rsid w:val="007E4B41"/>
    <w:rsid w:val="007E5F69"/>
    <w:rsid w:val="007E6496"/>
    <w:rsid w:val="007F130D"/>
    <w:rsid w:val="007F1914"/>
    <w:rsid w:val="007F1DA4"/>
    <w:rsid w:val="007F277B"/>
    <w:rsid w:val="007F61F1"/>
    <w:rsid w:val="007F6A11"/>
    <w:rsid w:val="007F77FE"/>
    <w:rsid w:val="007F785D"/>
    <w:rsid w:val="007F7E5E"/>
    <w:rsid w:val="00803BE4"/>
    <w:rsid w:val="008041F5"/>
    <w:rsid w:val="00804C2B"/>
    <w:rsid w:val="00805476"/>
    <w:rsid w:val="008056BA"/>
    <w:rsid w:val="00811DAC"/>
    <w:rsid w:val="00813C9D"/>
    <w:rsid w:val="00814D06"/>
    <w:rsid w:val="008160E5"/>
    <w:rsid w:val="008171D0"/>
    <w:rsid w:val="008204A4"/>
    <w:rsid w:val="008206C2"/>
    <w:rsid w:val="0082296B"/>
    <w:rsid w:val="00822B2B"/>
    <w:rsid w:val="00822F5B"/>
    <w:rsid w:val="008242DB"/>
    <w:rsid w:val="0082749C"/>
    <w:rsid w:val="0083253A"/>
    <w:rsid w:val="00833956"/>
    <w:rsid w:val="00833E8E"/>
    <w:rsid w:val="00834220"/>
    <w:rsid w:val="008345B5"/>
    <w:rsid w:val="00835161"/>
    <w:rsid w:val="0083542F"/>
    <w:rsid w:val="008354DE"/>
    <w:rsid w:val="008409AA"/>
    <w:rsid w:val="008459CA"/>
    <w:rsid w:val="00847CFF"/>
    <w:rsid w:val="0085000D"/>
    <w:rsid w:val="00851BD7"/>
    <w:rsid w:val="008563FC"/>
    <w:rsid w:val="00862C7A"/>
    <w:rsid w:val="00864615"/>
    <w:rsid w:val="00872D27"/>
    <w:rsid w:val="008731D6"/>
    <w:rsid w:val="00873763"/>
    <w:rsid w:val="00873A18"/>
    <w:rsid w:val="0087677C"/>
    <w:rsid w:val="0087682E"/>
    <w:rsid w:val="00880906"/>
    <w:rsid w:val="00881D76"/>
    <w:rsid w:val="00882F8D"/>
    <w:rsid w:val="00890496"/>
    <w:rsid w:val="008910B8"/>
    <w:rsid w:val="008922BB"/>
    <w:rsid w:val="0089475D"/>
    <w:rsid w:val="00894DF1"/>
    <w:rsid w:val="008A022B"/>
    <w:rsid w:val="008A3308"/>
    <w:rsid w:val="008A4577"/>
    <w:rsid w:val="008A5F20"/>
    <w:rsid w:val="008A66F8"/>
    <w:rsid w:val="008B1A8D"/>
    <w:rsid w:val="008B3548"/>
    <w:rsid w:val="008B4D08"/>
    <w:rsid w:val="008B5199"/>
    <w:rsid w:val="008B76CC"/>
    <w:rsid w:val="008C0D20"/>
    <w:rsid w:val="008C2448"/>
    <w:rsid w:val="008C2492"/>
    <w:rsid w:val="008C43A2"/>
    <w:rsid w:val="008C48CE"/>
    <w:rsid w:val="008C7DDB"/>
    <w:rsid w:val="008D0827"/>
    <w:rsid w:val="008D0FA5"/>
    <w:rsid w:val="008D3286"/>
    <w:rsid w:val="008D6FE2"/>
    <w:rsid w:val="008E0559"/>
    <w:rsid w:val="008E2F50"/>
    <w:rsid w:val="008E35AD"/>
    <w:rsid w:val="008E4675"/>
    <w:rsid w:val="008E54D3"/>
    <w:rsid w:val="008E6141"/>
    <w:rsid w:val="008E7E6F"/>
    <w:rsid w:val="008F16CA"/>
    <w:rsid w:val="008F17B1"/>
    <w:rsid w:val="008F18FB"/>
    <w:rsid w:val="008F4469"/>
    <w:rsid w:val="008F4859"/>
    <w:rsid w:val="008F54A4"/>
    <w:rsid w:val="008F7624"/>
    <w:rsid w:val="00900C50"/>
    <w:rsid w:val="00901EFC"/>
    <w:rsid w:val="00904B9B"/>
    <w:rsid w:val="00907AEC"/>
    <w:rsid w:val="00911AC9"/>
    <w:rsid w:val="00911F2C"/>
    <w:rsid w:val="009133E0"/>
    <w:rsid w:val="00913B19"/>
    <w:rsid w:val="0091500C"/>
    <w:rsid w:val="00915449"/>
    <w:rsid w:val="009166E0"/>
    <w:rsid w:val="009177E4"/>
    <w:rsid w:val="0092256E"/>
    <w:rsid w:val="00923214"/>
    <w:rsid w:val="0092497D"/>
    <w:rsid w:val="00930D5D"/>
    <w:rsid w:val="009312A0"/>
    <w:rsid w:val="00931A97"/>
    <w:rsid w:val="0093455B"/>
    <w:rsid w:val="009404FF"/>
    <w:rsid w:val="0094079D"/>
    <w:rsid w:val="00941818"/>
    <w:rsid w:val="00941A13"/>
    <w:rsid w:val="00945442"/>
    <w:rsid w:val="00951E65"/>
    <w:rsid w:val="009521D9"/>
    <w:rsid w:val="0095259B"/>
    <w:rsid w:val="00952759"/>
    <w:rsid w:val="00953923"/>
    <w:rsid w:val="00953AEC"/>
    <w:rsid w:val="00953C17"/>
    <w:rsid w:val="00955913"/>
    <w:rsid w:val="00956A95"/>
    <w:rsid w:val="0096007C"/>
    <w:rsid w:val="009650AE"/>
    <w:rsid w:val="00966DE1"/>
    <w:rsid w:val="009713CB"/>
    <w:rsid w:val="009732A2"/>
    <w:rsid w:val="00973558"/>
    <w:rsid w:val="00983E09"/>
    <w:rsid w:val="009845E2"/>
    <w:rsid w:val="00985253"/>
    <w:rsid w:val="00992409"/>
    <w:rsid w:val="00995FE2"/>
    <w:rsid w:val="009A03ED"/>
    <w:rsid w:val="009A3F56"/>
    <w:rsid w:val="009A6F7A"/>
    <w:rsid w:val="009B045B"/>
    <w:rsid w:val="009B0C77"/>
    <w:rsid w:val="009B3142"/>
    <w:rsid w:val="009B3C1D"/>
    <w:rsid w:val="009B6303"/>
    <w:rsid w:val="009C1698"/>
    <w:rsid w:val="009C4CF3"/>
    <w:rsid w:val="009C5CD4"/>
    <w:rsid w:val="009D0871"/>
    <w:rsid w:val="009D0D13"/>
    <w:rsid w:val="009D1816"/>
    <w:rsid w:val="009D3826"/>
    <w:rsid w:val="009D4AB5"/>
    <w:rsid w:val="009D52CF"/>
    <w:rsid w:val="009D62D6"/>
    <w:rsid w:val="009D6BF3"/>
    <w:rsid w:val="009E009C"/>
    <w:rsid w:val="009E551D"/>
    <w:rsid w:val="009E606E"/>
    <w:rsid w:val="009E7F94"/>
    <w:rsid w:val="009F16C4"/>
    <w:rsid w:val="00A03091"/>
    <w:rsid w:val="00A038A8"/>
    <w:rsid w:val="00A05E3B"/>
    <w:rsid w:val="00A0640F"/>
    <w:rsid w:val="00A15007"/>
    <w:rsid w:val="00A150FC"/>
    <w:rsid w:val="00A20783"/>
    <w:rsid w:val="00A207CE"/>
    <w:rsid w:val="00A20B3A"/>
    <w:rsid w:val="00A21889"/>
    <w:rsid w:val="00A21C23"/>
    <w:rsid w:val="00A23F39"/>
    <w:rsid w:val="00A2555B"/>
    <w:rsid w:val="00A2662B"/>
    <w:rsid w:val="00A27EAD"/>
    <w:rsid w:val="00A30454"/>
    <w:rsid w:val="00A324E3"/>
    <w:rsid w:val="00A32A1C"/>
    <w:rsid w:val="00A32B50"/>
    <w:rsid w:val="00A32FBB"/>
    <w:rsid w:val="00A360AD"/>
    <w:rsid w:val="00A3667E"/>
    <w:rsid w:val="00A36A92"/>
    <w:rsid w:val="00A421BC"/>
    <w:rsid w:val="00A42569"/>
    <w:rsid w:val="00A42F72"/>
    <w:rsid w:val="00A435D3"/>
    <w:rsid w:val="00A44795"/>
    <w:rsid w:val="00A5253A"/>
    <w:rsid w:val="00A529AC"/>
    <w:rsid w:val="00A52A5C"/>
    <w:rsid w:val="00A5357B"/>
    <w:rsid w:val="00A55AB4"/>
    <w:rsid w:val="00A619B9"/>
    <w:rsid w:val="00A6249D"/>
    <w:rsid w:val="00A6415C"/>
    <w:rsid w:val="00A64725"/>
    <w:rsid w:val="00A64A98"/>
    <w:rsid w:val="00A656AE"/>
    <w:rsid w:val="00A65985"/>
    <w:rsid w:val="00A70EE3"/>
    <w:rsid w:val="00A7124C"/>
    <w:rsid w:val="00A76EFB"/>
    <w:rsid w:val="00A77DDA"/>
    <w:rsid w:val="00A808D0"/>
    <w:rsid w:val="00A81A4A"/>
    <w:rsid w:val="00A8316C"/>
    <w:rsid w:val="00A8390F"/>
    <w:rsid w:val="00A91CE3"/>
    <w:rsid w:val="00A939E3"/>
    <w:rsid w:val="00A93DBF"/>
    <w:rsid w:val="00A95C34"/>
    <w:rsid w:val="00A96124"/>
    <w:rsid w:val="00A96823"/>
    <w:rsid w:val="00AA009D"/>
    <w:rsid w:val="00AA0E12"/>
    <w:rsid w:val="00AA6C3F"/>
    <w:rsid w:val="00AA7D1D"/>
    <w:rsid w:val="00AB78DC"/>
    <w:rsid w:val="00AB7F16"/>
    <w:rsid w:val="00AC53DA"/>
    <w:rsid w:val="00AC5F32"/>
    <w:rsid w:val="00AC6B16"/>
    <w:rsid w:val="00AC75D4"/>
    <w:rsid w:val="00AC7C17"/>
    <w:rsid w:val="00AD2DD3"/>
    <w:rsid w:val="00AD3B77"/>
    <w:rsid w:val="00AD6033"/>
    <w:rsid w:val="00AE00CD"/>
    <w:rsid w:val="00AE191C"/>
    <w:rsid w:val="00AE2D5C"/>
    <w:rsid w:val="00AE2E3F"/>
    <w:rsid w:val="00AE4918"/>
    <w:rsid w:val="00AE5C11"/>
    <w:rsid w:val="00AE6807"/>
    <w:rsid w:val="00AE7214"/>
    <w:rsid w:val="00AF0B64"/>
    <w:rsid w:val="00AF0DB0"/>
    <w:rsid w:val="00AF2584"/>
    <w:rsid w:val="00AF525F"/>
    <w:rsid w:val="00AF537F"/>
    <w:rsid w:val="00AF5601"/>
    <w:rsid w:val="00AF5CDA"/>
    <w:rsid w:val="00AF78F8"/>
    <w:rsid w:val="00B00E97"/>
    <w:rsid w:val="00B02114"/>
    <w:rsid w:val="00B04239"/>
    <w:rsid w:val="00B0599E"/>
    <w:rsid w:val="00B05EC8"/>
    <w:rsid w:val="00B0650C"/>
    <w:rsid w:val="00B06B50"/>
    <w:rsid w:val="00B11D7D"/>
    <w:rsid w:val="00B13126"/>
    <w:rsid w:val="00B1357C"/>
    <w:rsid w:val="00B140DA"/>
    <w:rsid w:val="00B1526F"/>
    <w:rsid w:val="00B15E45"/>
    <w:rsid w:val="00B17157"/>
    <w:rsid w:val="00B17711"/>
    <w:rsid w:val="00B22433"/>
    <w:rsid w:val="00B23CC4"/>
    <w:rsid w:val="00B2674A"/>
    <w:rsid w:val="00B32A16"/>
    <w:rsid w:val="00B3528E"/>
    <w:rsid w:val="00B35424"/>
    <w:rsid w:val="00B4093F"/>
    <w:rsid w:val="00B426E3"/>
    <w:rsid w:val="00B47DC2"/>
    <w:rsid w:val="00B50D81"/>
    <w:rsid w:val="00B51B4A"/>
    <w:rsid w:val="00B54FCD"/>
    <w:rsid w:val="00B55D30"/>
    <w:rsid w:val="00B56F01"/>
    <w:rsid w:val="00B66DCA"/>
    <w:rsid w:val="00B67C63"/>
    <w:rsid w:val="00B70435"/>
    <w:rsid w:val="00B706DF"/>
    <w:rsid w:val="00B7371A"/>
    <w:rsid w:val="00B76FC9"/>
    <w:rsid w:val="00B77191"/>
    <w:rsid w:val="00B81C7F"/>
    <w:rsid w:val="00B8210B"/>
    <w:rsid w:val="00B84A13"/>
    <w:rsid w:val="00B85293"/>
    <w:rsid w:val="00B85466"/>
    <w:rsid w:val="00B879E1"/>
    <w:rsid w:val="00B93415"/>
    <w:rsid w:val="00B951B1"/>
    <w:rsid w:val="00B9563D"/>
    <w:rsid w:val="00B956CD"/>
    <w:rsid w:val="00B97426"/>
    <w:rsid w:val="00B97DDF"/>
    <w:rsid w:val="00BA1B47"/>
    <w:rsid w:val="00BA518A"/>
    <w:rsid w:val="00BA5554"/>
    <w:rsid w:val="00BA5EF6"/>
    <w:rsid w:val="00BA6157"/>
    <w:rsid w:val="00BA6CC0"/>
    <w:rsid w:val="00BA6D15"/>
    <w:rsid w:val="00BA6D45"/>
    <w:rsid w:val="00BB4619"/>
    <w:rsid w:val="00BB7DAF"/>
    <w:rsid w:val="00BC15CE"/>
    <w:rsid w:val="00BC1A97"/>
    <w:rsid w:val="00BC2A9B"/>
    <w:rsid w:val="00BC4924"/>
    <w:rsid w:val="00BC54DE"/>
    <w:rsid w:val="00BC5CB0"/>
    <w:rsid w:val="00BC738B"/>
    <w:rsid w:val="00BC77E6"/>
    <w:rsid w:val="00BC7DB1"/>
    <w:rsid w:val="00BD0A83"/>
    <w:rsid w:val="00BD6A65"/>
    <w:rsid w:val="00BE7F2B"/>
    <w:rsid w:val="00BF1066"/>
    <w:rsid w:val="00BF10F9"/>
    <w:rsid w:val="00BF164C"/>
    <w:rsid w:val="00BF2BE2"/>
    <w:rsid w:val="00BF5525"/>
    <w:rsid w:val="00BF55B5"/>
    <w:rsid w:val="00BF7838"/>
    <w:rsid w:val="00C0084A"/>
    <w:rsid w:val="00C04C8D"/>
    <w:rsid w:val="00C051E0"/>
    <w:rsid w:val="00C052F8"/>
    <w:rsid w:val="00C0534D"/>
    <w:rsid w:val="00C0577E"/>
    <w:rsid w:val="00C05C3F"/>
    <w:rsid w:val="00C05C8A"/>
    <w:rsid w:val="00C12C1A"/>
    <w:rsid w:val="00C1671C"/>
    <w:rsid w:val="00C16CAB"/>
    <w:rsid w:val="00C20CC4"/>
    <w:rsid w:val="00C23206"/>
    <w:rsid w:val="00C236C5"/>
    <w:rsid w:val="00C23A7A"/>
    <w:rsid w:val="00C23EBB"/>
    <w:rsid w:val="00C2463E"/>
    <w:rsid w:val="00C2469E"/>
    <w:rsid w:val="00C30792"/>
    <w:rsid w:val="00C32786"/>
    <w:rsid w:val="00C346A2"/>
    <w:rsid w:val="00C34C3E"/>
    <w:rsid w:val="00C36F27"/>
    <w:rsid w:val="00C41F06"/>
    <w:rsid w:val="00C422D9"/>
    <w:rsid w:val="00C42E3D"/>
    <w:rsid w:val="00C44B2E"/>
    <w:rsid w:val="00C4777B"/>
    <w:rsid w:val="00C47D56"/>
    <w:rsid w:val="00C5290D"/>
    <w:rsid w:val="00C52965"/>
    <w:rsid w:val="00C561A4"/>
    <w:rsid w:val="00C56B40"/>
    <w:rsid w:val="00C61AA4"/>
    <w:rsid w:val="00C632D6"/>
    <w:rsid w:val="00C6335F"/>
    <w:rsid w:val="00C65CA5"/>
    <w:rsid w:val="00C661A8"/>
    <w:rsid w:val="00C6762A"/>
    <w:rsid w:val="00C72DAD"/>
    <w:rsid w:val="00C72FCA"/>
    <w:rsid w:val="00C73945"/>
    <w:rsid w:val="00C77463"/>
    <w:rsid w:val="00C800AD"/>
    <w:rsid w:val="00C80A25"/>
    <w:rsid w:val="00C80A6E"/>
    <w:rsid w:val="00C842B4"/>
    <w:rsid w:val="00C8468B"/>
    <w:rsid w:val="00C84F39"/>
    <w:rsid w:val="00C87927"/>
    <w:rsid w:val="00C9039B"/>
    <w:rsid w:val="00C9289F"/>
    <w:rsid w:val="00C92ED4"/>
    <w:rsid w:val="00C95180"/>
    <w:rsid w:val="00C96839"/>
    <w:rsid w:val="00C968BE"/>
    <w:rsid w:val="00C97F38"/>
    <w:rsid w:val="00CA370C"/>
    <w:rsid w:val="00CA440E"/>
    <w:rsid w:val="00CA6540"/>
    <w:rsid w:val="00CA6633"/>
    <w:rsid w:val="00CB0792"/>
    <w:rsid w:val="00CB2630"/>
    <w:rsid w:val="00CB29A2"/>
    <w:rsid w:val="00CB366B"/>
    <w:rsid w:val="00CB508E"/>
    <w:rsid w:val="00CB5C92"/>
    <w:rsid w:val="00CB791D"/>
    <w:rsid w:val="00CC2FF5"/>
    <w:rsid w:val="00CC4869"/>
    <w:rsid w:val="00CD0611"/>
    <w:rsid w:val="00CD0ECA"/>
    <w:rsid w:val="00CD3079"/>
    <w:rsid w:val="00CD375D"/>
    <w:rsid w:val="00CD455A"/>
    <w:rsid w:val="00CD4E61"/>
    <w:rsid w:val="00CD7588"/>
    <w:rsid w:val="00CE101E"/>
    <w:rsid w:val="00CE12DA"/>
    <w:rsid w:val="00CE2740"/>
    <w:rsid w:val="00CE4FD7"/>
    <w:rsid w:val="00CE6DA1"/>
    <w:rsid w:val="00CF21F5"/>
    <w:rsid w:val="00CF239A"/>
    <w:rsid w:val="00CF3D8D"/>
    <w:rsid w:val="00CF7CD9"/>
    <w:rsid w:val="00D00A03"/>
    <w:rsid w:val="00D07093"/>
    <w:rsid w:val="00D10EC1"/>
    <w:rsid w:val="00D12C51"/>
    <w:rsid w:val="00D14A64"/>
    <w:rsid w:val="00D16570"/>
    <w:rsid w:val="00D169E0"/>
    <w:rsid w:val="00D17240"/>
    <w:rsid w:val="00D17C30"/>
    <w:rsid w:val="00D20602"/>
    <w:rsid w:val="00D20703"/>
    <w:rsid w:val="00D21D90"/>
    <w:rsid w:val="00D226C3"/>
    <w:rsid w:val="00D25DBE"/>
    <w:rsid w:val="00D27328"/>
    <w:rsid w:val="00D27677"/>
    <w:rsid w:val="00D30B5C"/>
    <w:rsid w:val="00D31DE3"/>
    <w:rsid w:val="00D356FE"/>
    <w:rsid w:val="00D37860"/>
    <w:rsid w:val="00D427DD"/>
    <w:rsid w:val="00D44DE4"/>
    <w:rsid w:val="00D470CE"/>
    <w:rsid w:val="00D47384"/>
    <w:rsid w:val="00D47591"/>
    <w:rsid w:val="00D50CA8"/>
    <w:rsid w:val="00D52C3B"/>
    <w:rsid w:val="00D53471"/>
    <w:rsid w:val="00D54800"/>
    <w:rsid w:val="00D548CF"/>
    <w:rsid w:val="00D5616F"/>
    <w:rsid w:val="00D56889"/>
    <w:rsid w:val="00D57E73"/>
    <w:rsid w:val="00D62059"/>
    <w:rsid w:val="00D629CC"/>
    <w:rsid w:val="00D65EE4"/>
    <w:rsid w:val="00D66723"/>
    <w:rsid w:val="00D67478"/>
    <w:rsid w:val="00D67C39"/>
    <w:rsid w:val="00D67E89"/>
    <w:rsid w:val="00D71649"/>
    <w:rsid w:val="00D734BA"/>
    <w:rsid w:val="00D74141"/>
    <w:rsid w:val="00D76B76"/>
    <w:rsid w:val="00D76C1E"/>
    <w:rsid w:val="00D770AA"/>
    <w:rsid w:val="00D778F0"/>
    <w:rsid w:val="00D81C35"/>
    <w:rsid w:val="00D8287F"/>
    <w:rsid w:val="00D832AF"/>
    <w:rsid w:val="00D8467E"/>
    <w:rsid w:val="00D84700"/>
    <w:rsid w:val="00D8727A"/>
    <w:rsid w:val="00D8745C"/>
    <w:rsid w:val="00D938C5"/>
    <w:rsid w:val="00D95E18"/>
    <w:rsid w:val="00DA792A"/>
    <w:rsid w:val="00DB08E0"/>
    <w:rsid w:val="00DB1310"/>
    <w:rsid w:val="00DB3E18"/>
    <w:rsid w:val="00DB5506"/>
    <w:rsid w:val="00DC4841"/>
    <w:rsid w:val="00DC4BB1"/>
    <w:rsid w:val="00DC5520"/>
    <w:rsid w:val="00DC63E1"/>
    <w:rsid w:val="00DC7522"/>
    <w:rsid w:val="00DD03CA"/>
    <w:rsid w:val="00DD1DFE"/>
    <w:rsid w:val="00DD667D"/>
    <w:rsid w:val="00DD7009"/>
    <w:rsid w:val="00DD7DE3"/>
    <w:rsid w:val="00DE04CD"/>
    <w:rsid w:val="00DE2A53"/>
    <w:rsid w:val="00DE4699"/>
    <w:rsid w:val="00DE51D9"/>
    <w:rsid w:val="00DE5F36"/>
    <w:rsid w:val="00DF2A1A"/>
    <w:rsid w:val="00DF3571"/>
    <w:rsid w:val="00DF74DC"/>
    <w:rsid w:val="00E03591"/>
    <w:rsid w:val="00E06A54"/>
    <w:rsid w:val="00E12040"/>
    <w:rsid w:val="00E12582"/>
    <w:rsid w:val="00E12C47"/>
    <w:rsid w:val="00E1415F"/>
    <w:rsid w:val="00E14CFC"/>
    <w:rsid w:val="00E15BDB"/>
    <w:rsid w:val="00E1641E"/>
    <w:rsid w:val="00E2011F"/>
    <w:rsid w:val="00E21DF7"/>
    <w:rsid w:val="00E228CA"/>
    <w:rsid w:val="00E23263"/>
    <w:rsid w:val="00E23C93"/>
    <w:rsid w:val="00E241DF"/>
    <w:rsid w:val="00E27A33"/>
    <w:rsid w:val="00E3355A"/>
    <w:rsid w:val="00E33DDE"/>
    <w:rsid w:val="00E33E84"/>
    <w:rsid w:val="00E33F3B"/>
    <w:rsid w:val="00E3446B"/>
    <w:rsid w:val="00E3754F"/>
    <w:rsid w:val="00E3778A"/>
    <w:rsid w:val="00E432BF"/>
    <w:rsid w:val="00E43C4A"/>
    <w:rsid w:val="00E44AC1"/>
    <w:rsid w:val="00E468D7"/>
    <w:rsid w:val="00E52632"/>
    <w:rsid w:val="00E53E97"/>
    <w:rsid w:val="00E567BD"/>
    <w:rsid w:val="00E60A95"/>
    <w:rsid w:val="00E61700"/>
    <w:rsid w:val="00E61D54"/>
    <w:rsid w:val="00E61E38"/>
    <w:rsid w:val="00E620D4"/>
    <w:rsid w:val="00E63388"/>
    <w:rsid w:val="00E64E83"/>
    <w:rsid w:val="00E65E78"/>
    <w:rsid w:val="00E66948"/>
    <w:rsid w:val="00E67D1F"/>
    <w:rsid w:val="00E70345"/>
    <w:rsid w:val="00E711F2"/>
    <w:rsid w:val="00E7306C"/>
    <w:rsid w:val="00E73092"/>
    <w:rsid w:val="00E73584"/>
    <w:rsid w:val="00E7525D"/>
    <w:rsid w:val="00E75E93"/>
    <w:rsid w:val="00E75F13"/>
    <w:rsid w:val="00E776AE"/>
    <w:rsid w:val="00E77B61"/>
    <w:rsid w:val="00E802BB"/>
    <w:rsid w:val="00E805A0"/>
    <w:rsid w:val="00E8267C"/>
    <w:rsid w:val="00E82C3F"/>
    <w:rsid w:val="00E84314"/>
    <w:rsid w:val="00E86D23"/>
    <w:rsid w:val="00E93394"/>
    <w:rsid w:val="00E952CA"/>
    <w:rsid w:val="00E95B0F"/>
    <w:rsid w:val="00E97CC0"/>
    <w:rsid w:val="00EA06EC"/>
    <w:rsid w:val="00EA3BFA"/>
    <w:rsid w:val="00EA4FC2"/>
    <w:rsid w:val="00EA5F41"/>
    <w:rsid w:val="00EB30BE"/>
    <w:rsid w:val="00EB43B2"/>
    <w:rsid w:val="00EB55B0"/>
    <w:rsid w:val="00EB6780"/>
    <w:rsid w:val="00EB7E89"/>
    <w:rsid w:val="00EC14D1"/>
    <w:rsid w:val="00EC14EE"/>
    <w:rsid w:val="00EC2288"/>
    <w:rsid w:val="00EC3D7D"/>
    <w:rsid w:val="00EC4F16"/>
    <w:rsid w:val="00EC56D9"/>
    <w:rsid w:val="00EC786D"/>
    <w:rsid w:val="00ED12BF"/>
    <w:rsid w:val="00ED1867"/>
    <w:rsid w:val="00ED435C"/>
    <w:rsid w:val="00ED4E26"/>
    <w:rsid w:val="00EE0551"/>
    <w:rsid w:val="00EE0DD8"/>
    <w:rsid w:val="00EE1C07"/>
    <w:rsid w:val="00EE36A8"/>
    <w:rsid w:val="00EE3855"/>
    <w:rsid w:val="00EE4418"/>
    <w:rsid w:val="00EE5F15"/>
    <w:rsid w:val="00EE78EF"/>
    <w:rsid w:val="00EE7C39"/>
    <w:rsid w:val="00EF0343"/>
    <w:rsid w:val="00EF04B2"/>
    <w:rsid w:val="00EF0E5A"/>
    <w:rsid w:val="00EF1138"/>
    <w:rsid w:val="00EF2C3E"/>
    <w:rsid w:val="00EF2DD3"/>
    <w:rsid w:val="00EF2EF5"/>
    <w:rsid w:val="00EF52BD"/>
    <w:rsid w:val="00EF76E6"/>
    <w:rsid w:val="00EF7FEF"/>
    <w:rsid w:val="00F01BC0"/>
    <w:rsid w:val="00F028B2"/>
    <w:rsid w:val="00F038E4"/>
    <w:rsid w:val="00F04B6D"/>
    <w:rsid w:val="00F05217"/>
    <w:rsid w:val="00F063FD"/>
    <w:rsid w:val="00F067A5"/>
    <w:rsid w:val="00F10EA8"/>
    <w:rsid w:val="00F137B8"/>
    <w:rsid w:val="00F13B51"/>
    <w:rsid w:val="00F1568D"/>
    <w:rsid w:val="00F240EA"/>
    <w:rsid w:val="00F24DB0"/>
    <w:rsid w:val="00F25D28"/>
    <w:rsid w:val="00F31291"/>
    <w:rsid w:val="00F315C5"/>
    <w:rsid w:val="00F345AB"/>
    <w:rsid w:val="00F3518F"/>
    <w:rsid w:val="00F37B62"/>
    <w:rsid w:val="00F42535"/>
    <w:rsid w:val="00F42E21"/>
    <w:rsid w:val="00F43A39"/>
    <w:rsid w:val="00F45D2E"/>
    <w:rsid w:val="00F47DC6"/>
    <w:rsid w:val="00F52991"/>
    <w:rsid w:val="00F54D66"/>
    <w:rsid w:val="00F60989"/>
    <w:rsid w:val="00F60BE4"/>
    <w:rsid w:val="00F627EA"/>
    <w:rsid w:val="00F62A67"/>
    <w:rsid w:val="00F63B11"/>
    <w:rsid w:val="00F64BC4"/>
    <w:rsid w:val="00F65461"/>
    <w:rsid w:val="00F66208"/>
    <w:rsid w:val="00F6642F"/>
    <w:rsid w:val="00F668DA"/>
    <w:rsid w:val="00F66F70"/>
    <w:rsid w:val="00F671D5"/>
    <w:rsid w:val="00F679AB"/>
    <w:rsid w:val="00F7009A"/>
    <w:rsid w:val="00F701B9"/>
    <w:rsid w:val="00F71527"/>
    <w:rsid w:val="00F72FAF"/>
    <w:rsid w:val="00F7389F"/>
    <w:rsid w:val="00F746F3"/>
    <w:rsid w:val="00F75901"/>
    <w:rsid w:val="00F77112"/>
    <w:rsid w:val="00F77453"/>
    <w:rsid w:val="00F815E0"/>
    <w:rsid w:val="00F81756"/>
    <w:rsid w:val="00F830B6"/>
    <w:rsid w:val="00F8390E"/>
    <w:rsid w:val="00F83FCE"/>
    <w:rsid w:val="00F844EC"/>
    <w:rsid w:val="00F85B22"/>
    <w:rsid w:val="00F865C1"/>
    <w:rsid w:val="00F86826"/>
    <w:rsid w:val="00F90117"/>
    <w:rsid w:val="00F94673"/>
    <w:rsid w:val="00F955AF"/>
    <w:rsid w:val="00F9693A"/>
    <w:rsid w:val="00FA1235"/>
    <w:rsid w:val="00FA4CFA"/>
    <w:rsid w:val="00FA4FB8"/>
    <w:rsid w:val="00FA5B13"/>
    <w:rsid w:val="00FA7620"/>
    <w:rsid w:val="00FA76C7"/>
    <w:rsid w:val="00FB3A45"/>
    <w:rsid w:val="00FB4F9B"/>
    <w:rsid w:val="00FB517B"/>
    <w:rsid w:val="00FB7F7E"/>
    <w:rsid w:val="00FC3E31"/>
    <w:rsid w:val="00FC6490"/>
    <w:rsid w:val="00FC75A0"/>
    <w:rsid w:val="00FC76F0"/>
    <w:rsid w:val="00FD521C"/>
    <w:rsid w:val="00FE0868"/>
    <w:rsid w:val="00FE1DB9"/>
    <w:rsid w:val="00FE36A0"/>
    <w:rsid w:val="00FE5C4B"/>
    <w:rsid w:val="00FE63A2"/>
    <w:rsid w:val="00FE6735"/>
    <w:rsid w:val="00FE6C9B"/>
    <w:rsid w:val="00FE6F5E"/>
    <w:rsid w:val="00FE7C2A"/>
    <w:rsid w:val="00FF11EF"/>
    <w:rsid w:val="00FF1CE4"/>
    <w:rsid w:val="00FF2401"/>
    <w:rsid w:val="00FF6355"/>
    <w:rsid w:val="00FF6764"/>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4835"/>
  <w15:docId w15:val="{3F0339B4-F38A-4FDB-8C1E-CF170760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61"/>
    <w:pPr>
      <w:jc w:val="both"/>
    </w:pPr>
    <w:rPr>
      <w:rFonts w:ascii="Arial" w:hAnsi="Arial"/>
    </w:rPr>
  </w:style>
  <w:style w:type="paragraph" w:styleId="Heading1">
    <w:name w:val="heading 1"/>
    <w:basedOn w:val="Normal"/>
    <w:next w:val="Normal"/>
    <w:link w:val="Heading1Char"/>
    <w:qFormat/>
    <w:rsid w:val="00A77DDA"/>
    <w:pPr>
      <w:keepNext/>
      <w:outlineLvl w:val="0"/>
    </w:pPr>
    <w:rPr>
      <w:rFonts w:eastAsia="Times New Roman" w:cs="Times New Roman"/>
      <w:b/>
      <w:caps/>
      <w:kern w:val="28"/>
      <w:szCs w:val="20"/>
    </w:rPr>
  </w:style>
  <w:style w:type="paragraph" w:styleId="Heading2">
    <w:name w:val="heading 2"/>
    <w:basedOn w:val="Normal"/>
    <w:next w:val="Normal"/>
    <w:link w:val="Heading2Char"/>
    <w:qFormat/>
    <w:rsid w:val="003437E4"/>
    <w:pPr>
      <w:keepNext/>
      <w:spacing w:before="240" w:after="60"/>
      <w:outlineLvl w:val="1"/>
    </w:pPr>
    <w:rPr>
      <w:b/>
      <w:i/>
      <w:sz w:val="24"/>
    </w:rPr>
  </w:style>
  <w:style w:type="paragraph" w:styleId="Heading3">
    <w:name w:val="heading 3"/>
    <w:basedOn w:val="Normal"/>
    <w:next w:val="Normal"/>
    <w:link w:val="Heading3Char"/>
    <w:qFormat/>
    <w:rsid w:val="00BC738B"/>
    <w:pPr>
      <w:keepNext/>
      <w:jc w:val="center"/>
      <w:outlineLvl w:val="2"/>
    </w:pPr>
    <w:rPr>
      <w:rFonts w:eastAsia="Times New Roman" w:cs="Times New Roman"/>
      <w:b/>
      <w:snapToGrid w:val="0"/>
      <w:sz w:val="18"/>
      <w:szCs w:val="18"/>
    </w:rPr>
  </w:style>
  <w:style w:type="paragraph" w:styleId="Heading4">
    <w:name w:val="heading 4"/>
    <w:basedOn w:val="Normal"/>
    <w:next w:val="Normal"/>
    <w:link w:val="Heading4Char"/>
    <w:qFormat/>
    <w:rsid w:val="00BC738B"/>
    <w:pPr>
      <w:keepNext/>
      <w:outlineLvl w:val="3"/>
    </w:pPr>
    <w:rPr>
      <w:rFonts w:eastAsia="Times New Roman" w:cs="Times New Roman"/>
      <w:snapToGrid w:val="0"/>
      <w:sz w:val="18"/>
      <w:szCs w:val="18"/>
      <w:u w:val="single"/>
    </w:rPr>
  </w:style>
  <w:style w:type="paragraph" w:styleId="Heading5">
    <w:name w:val="heading 5"/>
    <w:basedOn w:val="Normal"/>
    <w:next w:val="Normal"/>
    <w:link w:val="Heading5Char"/>
    <w:qFormat/>
    <w:rsid w:val="00BC738B"/>
    <w:pPr>
      <w:keepNext/>
      <w:jc w:val="center"/>
      <w:outlineLvl w:val="4"/>
    </w:pPr>
    <w:rPr>
      <w:rFonts w:eastAsia="Times New Roman" w:cs="Times New Roman"/>
      <w:snapToGrid w:val="0"/>
      <w:sz w:val="18"/>
      <w:szCs w:val="18"/>
      <w:u w:val="single"/>
    </w:rPr>
  </w:style>
  <w:style w:type="paragraph" w:styleId="Heading6">
    <w:name w:val="heading 6"/>
    <w:basedOn w:val="Normal"/>
    <w:next w:val="Normal"/>
    <w:link w:val="Heading6Char"/>
    <w:qFormat/>
    <w:rsid w:val="00BC738B"/>
    <w:pPr>
      <w:keepNext/>
      <w:outlineLvl w:val="5"/>
    </w:pPr>
    <w:rPr>
      <w:rFonts w:eastAsia="Times New Roman" w:cs="Times New Roman"/>
      <w:b/>
      <w:snapToGrid w:val="0"/>
      <w:sz w:val="14"/>
      <w:szCs w:val="18"/>
    </w:rPr>
  </w:style>
  <w:style w:type="paragraph" w:styleId="Heading7">
    <w:name w:val="heading 7"/>
    <w:basedOn w:val="Normal"/>
    <w:next w:val="Normal"/>
    <w:link w:val="Heading7Char"/>
    <w:qFormat/>
    <w:rsid w:val="00BC738B"/>
    <w:pPr>
      <w:keepNext/>
      <w:outlineLvl w:val="6"/>
    </w:pPr>
    <w:rPr>
      <w:rFonts w:eastAsia="Times New Roman" w:cs="Times New Roman"/>
      <w:b/>
      <w:snapToGrid w:val="0"/>
      <w:sz w:val="18"/>
      <w:szCs w:val="18"/>
    </w:rPr>
  </w:style>
  <w:style w:type="paragraph" w:styleId="Heading8">
    <w:name w:val="heading 8"/>
    <w:basedOn w:val="Normal"/>
    <w:next w:val="Normal"/>
    <w:link w:val="Heading8Char"/>
    <w:qFormat/>
    <w:rsid w:val="00BC738B"/>
    <w:pPr>
      <w:keepNext/>
      <w:outlineLvl w:val="7"/>
    </w:pPr>
    <w:rPr>
      <w:rFonts w:eastAsia="Times New Roman" w:cs="Times New Roman"/>
      <w:snapToGrid w:val="0"/>
      <w:sz w:val="16"/>
      <w:szCs w:val="18"/>
      <w:u w:val="single"/>
    </w:rPr>
  </w:style>
  <w:style w:type="paragraph" w:styleId="Heading9">
    <w:name w:val="heading 9"/>
    <w:basedOn w:val="Normal"/>
    <w:next w:val="Normal"/>
    <w:link w:val="Heading9Char"/>
    <w:qFormat/>
    <w:rsid w:val="00BC738B"/>
    <w:pPr>
      <w:keepNext/>
      <w:ind w:left="720"/>
      <w:jc w:val="center"/>
      <w:outlineLvl w:val="8"/>
    </w:pPr>
    <w:rPr>
      <w:rFonts w:eastAsia="Times New Roman" w:cs="Times New Roman"/>
      <w:snapToGrid w:val="0"/>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C2"/>
    <w:pPr>
      <w:ind w:left="720"/>
      <w:contextualSpacing/>
    </w:pPr>
  </w:style>
  <w:style w:type="paragraph" w:styleId="BalloonText">
    <w:name w:val="Balloon Text"/>
    <w:basedOn w:val="Normal"/>
    <w:link w:val="BalloonTextChar"/>
    <w:semiHidden/>
    <w:unhideWhenUsed/>
    <w:rsid w:val="004C0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EB3"/>
    <w:rPr>
      <w:rFonts w:ascii="Segoe UI" w:hAnsi="Segoe UI" w:cs="Segoe UI"/>
      <w:sz w:val="18"/>
      <w:szCs w:val="18"/>
    </w:rPr>
  </w:style>
  <w:style w:type="character" w:styleId="CommentReference">
    <w:name w:val="annotation reference"/>
    <w:basedOn w:val="DefaultParagraphFont"/>
    <w:unhideWhenUsed/>
    <w:rsid w:val="00D44DE4"/>
    <w:rPr>
      <w:sz w:val="16"/>
      <w:szCs w:val="16"/>
    </w:rPr>
  </w:style>
  <w:style w:type="paragraph" w:styleId="CommentText">
    <w:name w:val="annotation text"/>
    <w:basedOn w:val="Normal"/>
    <w:link w:val="CommentTextChar"/>
    <w:unhideWhenUsed/>
    <w:rsid w:val="00D44DE4"/>
    <w:rPr>
      <w:sz w:val="20"/>
      <w:szCs w:val="20"/>
    </w:rPr>
  </w:style>
  <w:style w:type="character" w:customStyle="1" w:styleId="CommentTextChar">
    <w:name w:val="Comment Text Char"/>
    <w:basedOn w:val="DefaultParagraphFont"/>
    <w:link w:val="CommentText"/>
    <w:rsid w:val="00D44DE4"/>
    <w:rPr>
      <w:sz w:val="20"/>
      <w:szCs w:val="20"/>
    </w:rPr>
  </w:style>
  <w:style w:type="paragraph" w:styleId="CommentSubject">
    <w:name w:val="annotation subject"/>
    <w:basedOn w:val="CommentText"/>
    <w:next w:val="CommentText"/>
    <w:link w:val="CommentSubjectChar"/>
    <w:unhideWhenUsed/>
    <w:rsid w:val="00D44DE4"/>
    <w:rPr>
      <w:b/>
      <w:bCs/>
    </w:rPr>
  </w:style>
  <w:style w:type="character" w:customStyle="1" w:styleId="CommentSubjectChar">
    <w:name w:val="Comment Subject Char"/>
    <w:basedOn w:val="CommentTextChar"/>
    <w:link w:val="CommentSubject"/>
    <w:rsid w:val="00D44DE4"/>
    <w:rPr>
      <w:b/>
      <w:bCs/>
      <w:sz w:val="20"/>
      <w:szCs w:val="20"/>
    </w:rPr>
  </w:style>
  <w:style w:type="character" w:customStyle="1" w:styleId="Heading1Char">
    <w:name w:val="Heading 1 Char"/>
    <w:basedOn w:val="DefaultParagraphFont"/>
    <w:link w:val="Heading1"/>
    <w:rsid w:val="00A77DDA"/>
    <w:rPr>
      <w:rFonts w:ascii="Arial" w:eastAsia="Times New Roman" w:hAnsi="Arial" w:cs="Times New Roman"/>
      <w:b/>
      <w:caps/>
      <w:kern w:val="28"/>
      <w:szCs w:val="20"/>
    </w:rPr>
  </w:style>
  <w:style w:type="paragraph" w:styleId="Footer">
    <w:name w:val="footer"/>
    <w:basedOn w:val="Normal"/>
    <w:link w:val="FooterChar"/>
    <w:uiPriority w:val="99"/>
    <w:rsid w:val="00A77DDA"/>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uiPriority w:val="99"/>
    <w:rsid w:val="00A77DDA"/>
    <w:rPr>
      <w:rFonts w:ascii="Arial" w:eastAsia="Times New Roman" w:hAnsi="Arial" w:cs="Times New Roman"/>
      <w:szCs w:val="20"/>
    </w:rPr>
  </w:style>
  <w:style w:type="paragraph" w:customStyle="1" w:styleId="xmsonormal">
    <w:name w:val="x_msonormal"/>
    <w:basedOn w:val="Normal"/>
    <w:rsid w:val="00A77DDA"/>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3437E4"/>
    <w:rPr>
      <w:b/>
      <w:i/>
      <w:sz w:val="24"/>
    </w:rPr>
  </w:style>
  <w:style w:type="paragraph" w:styleId="BlockText">
    <w:name w:val="Block Text"/>
    <w:basedOn w:val="Normal"/>
    <w:rsid w:val="003437E4"/>
    <w:pPr>
      <w:spacing w:after="120"/>
      <w:ind w:left="1440" w:right="1440"/>
    </w:pPr>
  </w:style>
  <w:style w:type="paragraph" w:styleId="BodyText">
    <w:name w:val="Body Text"/>
    <w:basedOn w:val="Normal"/>
    <w:link w:val="BodyTextChar"/>
    <w:rsid w:val="003437E4"/>
    <w:pPr>
      <w:spacing w:after="120"/>
    </w:pPr>
  </w:style>
  <w:style w:type="character" w:customStyle="1" w:styleId="BodyTextChar">
    <w:name w:val="Body Text Char"/>
    <w:basedOn w:val="DefaultParagraphFont"/>
    <w:link w:val="BodyText"/>
    <w:rsid w:val="003437E4"/>
  </w:style>
  <w:style w:type="paragraph" w:styleId="BodyText2">
    <w:name w:val="Body Text 2"/>
    <w:basedOn w:val="Normal"/>
    <w:link w:val="BodyText2Char"/>
    <w:rsid w:val="003437E4"/>
    <w:pPr>
      <w:spacing w:after="120" w:line="480" w:lineRule="auto"/>
    </w:pPr>
  </w:style>
  <w:style w:type="character" w:customStyle="1" w:styleId="BodyText2Char">
    <w:name w:val="Body Text 2 Char"/>
    <w:basedOn w:val="DefaultParagraphFont"/>
    <w:link w:val="BodyText2"/>
    <w:rsid w:val="003437E4"/>
  </w:style>
  <w:style w:type="paragraph" w:styleId="Header">
    <w:name w:val="header"/>
    <w:basedOn w:val="Normal"/>
    <w:link w:val="HeaderChar"/>
    <w:rsid w:val="003437E4"/>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rsid w:val="003437E4"/>
    <w:rPr>
      <w:rFonts w:ascii="Arial" w:eastAsia="Times New Roman" w:hAnsi="Arial" w:cs="Times New Roman"/>
      <w:szCs w:val="20"/>
    </w:rPr>
  </w:style>
  <w:style w:type="paragraph" w:styleId="Index1">
    <w:name w:val="index 1"/>
    <w:basedOn w:val="Normal"/>
    <w:next w:val="Normal"/>
    <w:autoRedefine/>
    <w:semiHidden/>
    <w:rsid w:val="003437E4"/>
    <w:pPr>
      <w:ind w:left="200" w:hanging="200"/>
    </w:pPr>
  </w:style>
  <w:style w:type="paragraph" w:styleId="Index2">
    <w:name w:val="index 2"/>
    <w:basedOn w:val="Normal"/>
    <w:next w:val="Normal"/>
    <w:autoRedefine/>
    <w:semiHidden/>
    <w:rsid w:val="003437E4"/>
    <w:pPr>
      <w:ind w:left="400" w:hanging="200"/>
    </w:pPr>
  </w:style>
  <w:style w:type="paragraph" w:customStyle="1" w:styleId="Style1">
    <w:name w:val="Style1"/>
    <w:basedOn w:val="Normal"/>
    <w:rsid w:val="003437E4"/>
  </w:style>
  <w:style w:type="paragraph" w:customStyle="1" w:styleId="SpecBook">
    <w:name w:val="Spec Book"/>
    <w:basedOn w:val="Heading2"/>
    <w:next w:val="Normal"/>
    <w:rsid w:val="003437E4"/>
    <w:pPr>
      <w:spacing w:before="0" w:after="0"/>
      <w:ind w:firstLine="360"/>
      <w:jc w:val="center"/>
    </w:pPr>
    <w:rPr>
      <w:i w:val="0"/>
      <w:snapToGrid w:val="0"/>
      <w:sz w:val="18"/>
    </w:rPr>
  </w:style>
  <w:style w:type="character" w:customStyle="1" w:styleId="Article">
    <w:name w:val="Article"/>
    <w:qFormat/>
    <w:rsid w:val="003437E4"/>
    <w:rPr>
      <w:rFonts w:ascii="Arial" w:hAnsi="Arial"/>
      <w:b/>
      <w:sz w:val="18"/>
    </w:rPr>
  </w:style>
  <w:style w:type="character" w:customStyle="1" w:styleId="Section">
    <w:name w:val="Section"/>
    <w:rsid w:val="003437E4"/>
    <w:rPr>
      <w:rFonts w:ascii="Arial" w:hAnsi="Arial"/>
      <w:b/>
      <w:sz w:val="18"/>
    </w:rPr>
  </w:style>
  <w:style w:type="paragraph" w:customStyle="1" w:styleId="CM16">
    <w:name w:val="CM16"/>
    <w:basedOn w:val="Normal"/>
    <w:next w:val="Normal"/>
    <w:uiPriority w:val="99"/>
    <w:rsid w:val="003437E4"/>
    <w:pPr>
      <w:widowControl w:val="0"/>
      <w:autoSpaceDE w:val="0"/>
      <w:autoSpaceDN w:val="0"/>
      <w:adjustRightInd w:val="0"/>
      <w:spacing w:after="205"/>
    </w:pPr>
    <w:rPr>
      <w:rFonts w:cs="Arial"/>
      <w:sz w:val="24"/>
      <w:szCs w:val="24"/>
    </w:rPr>
  </w:style>
  <w:style w:type="paragraph" w:customStyle="1" w:styleId="Default">
    <w:name w:val="Default"/>
    <w:rsid w:val="003437E4"/>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E2740"/>
    <w:rPr>
      <w:rFonts w:ascii="Arial" w:eastAsia="Times New Roman" w:hAnsi="Arial" w:cs="Times New Roman"/>
      <w:szCs w:val="20"/>
    </w:rPr>
  </w:style>
  <w:style w:type="paragraph" w:styleId="BodyTextIndent3">
    <w:name w:val="Body Text Indent 3"/>
    <w:basedOn w:val="Normal"/>
    <w:link w:val="BodyTextIndent3Char"/>
    <w:rsid w:val="003437E4"/>
    <w:pPr>
      <w:spacing w:after="120"/>
      <w:ind w:left="360"/>
    </w:pPr>
    <w:rPr>
      <w:sz w:val="16"/>
      <w:szCs w:val="16"/>
    </w:rPr>
  </w:style>
  <w:style w:type="character" w:customStyle="1" w:styleId="BodyTextIndent3Char">
    <w:name w:val="Body Text Indent 3 Char"/>
    <w:basedOn w:val="DefaultParagraphFont"/>
    <w:link w:val="BodyTextIndent3"/>
    <w:rsid w:val="003437E4"/>
    <w:rPr>
      <w:sz w:val="16"/>
      <w:szCs w:val="16"/>
    </w:rPr>
  </w:style>
  <w:style w:type="character" w:styleId="PageNumber">
    <w:name w:val="page number"/>
    <w:basedOn w:val="DefaultParagraphFont"/>
    <w:rsid w:val="003437E4"/>
  </w:style>
  <w:style w:type="table" w:styleId="TableGrid">
    <w:name w:val="Table Grid"/>
    <w:basedOn w:val="TableNormal"/>
    <w:rsid w:val="003437E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3437E4"/>
    <w:pPr>
      <w:spacing w:after="120"/>
      <w:ind w:left="360"/>
    </w:pPr>
  </w:style>
  <w:style w:type="character" w:customStyle="1" w:styleId="BodyTextIndentChar">
    <w:name w:val="Body Text Indent Char"/>
    <w:basedOn w:val="DefaultParagraphFont"/>
    <w:link w:val="BodyTextIndent"/>
    <w:rsid w:val="003437E4"/>
  </w:style>
  <w:style w:type="character" w:styleId="Hyperlink">
    <w:name w:val="Hyperlink"/>
    <w:rsid w:val="003437E4"/>
    <w:rPr>
      <w:color w:val="0000FF"/>
      <w:u w:val="single"/>
    </w:rPr>
  </w:style>
  <w:style w:type="character" w:styleId="UnresolvedMention">
    <w:name w:val="Unresolved Mention"/>
    <w:uiPriority w:val="99"/>
    <w:semiHidden/>
    <w:unhideWhenUsed/>
    <w:rsid w:val="003437E4"/>
    <w:rPr>
      <w:color w:val="808080"/>
      <w:shd w:val="clear" w:color="auto" w:fill="E6E6E6"/>
    </w:rPr>
  </w:style>
  <w:style w:type="character" w:customStyle="1" w:styleId="UnresolvedMention1">
    <w:name w:val="Unresolved Mention1"/>
    <w:uiPriority w:val="99"/>
    <w:semiHidden/>
    <w:unhideWhenUsed/>
    <w:rsid w:val="003437E4"/>
    <w:rPr>
      <w:color w:val="808080"/>
      <w:shd w:val="clear" w:color="auto" w:fill="E6E6E6"/>
    </w:rPr>
  </w:style>
  <w:style w:type="paragraph" w:customStyle="1" w:styleId="Require">
    <w:name w:val="Require"/>
    <w:basedOn w:val="Normal"/>
    <w:rsid w:val="00EB30BE"/>
    <w:pPr>
      <w:jc w:val="center"/>
    </w:pPr>
    <w:rPr>
      <w:rFonts w:eastAsia="Times New Roman" w:cs="Times New Roman"/>
      <w:b/>
      <w:caps/>
      <w:sz w:val="18"/>
      <w:szCs w:val="20"/>
    </w:rPr>
  </w:style>
  <w:style w:type="character" w:customStyle="1" w:styleId="Heading3Char">
    <w:name w:val="Heading 3 Char"/>
    <w:basedOn w:val="DefaultParagraphFont"/>
    <w:link w:val="Heading3"/>
    <w:rsid w:val="00BC738B"/>
    <w:rPr>
      <w:rFonts w:ascii="Arial" w:eastAsia="Times New Roman" w:hAnsi="Arial" w:cs="Times New Roman"/>
      <w:b/>
      <w:snapToGrid w:val="0"/>
      <w:sz w:val="18"/>
      <w:szCs w:val="18"/>
    </w:rPr>
  </w:style>
  <w:style w:type="character" w:customStyle="1" w:styleId="Heading4Char">
    <w:name w:val="Heading 4 Char"/>
    <w:basedOn w:val="DefaultParagraphFont"/>
    <w:link w:val="Heading4"/>
    <w:rsid w:val="00BC738B"/>
    <w:rPr>
      <w:rFonts w:ascii="Arial" w:eastAsia="Times New Roman" w:hAnsi="Arial" w:cs="Times New Roman"/>
      <w:snapToGrid w:val="0"/>
      <w:sz w:val="18"/>
      <w:szCs w:val="18"/>
      <w:u w:val="single"/>
    </w:rPr>
  </w:style>
  <w:style w:type="character" w:customStyle="1" w:styleId="Heading5Char">
    <w:name w:val="Heading 5 Char"/>
    <w:basedOn w:val="DefaultParagraphFont"/>
    <w:link w:val="Heading5"/>
    <w:rsid w:val="00BC738B"/>
    <w:rPr>
      <w:rFonts w:ascii="Arial" w:eastAsia="Times New Roman" w:hAnsi="Arial" w:cs="Times New Roman"/>
      <w:snapToGrid w:val="0"/>
      <w:sz w:val="18"/>
      <w:szCs w:val="18"/>
      <w:u w:val="single"/>
    </w:rPr>
  </w:style>
  <w:style w:type="character" w:customStyle="1" w:styleId="Heading6Char">
    <w:name w:val="Heading 6 Char"/>
    <w:basedOn w:val="DefaultParagraphFont"/>
    <w:link w:val="Heading6"/>
    <w:rsid w:val="00BC738B"/>
    <w:rPr>
      <w:rFonts w:ascii="Arial" w:eastAsia="Times New Roman" w:hAnsi="Arial" w:cs="Times New Roman"/>
      <w:b/>
      <w:snapToGrid w:val="0"/>
      <w:sz w:val="14"/>
      <w:szCs w:val="18"/>
    </w:rPr>
  </w:style>
  <w:style w:type="character" w:customStyle="1" w:styleId="Heading7Char">
    <w:name w:val="Heading 7 Char"/>
    <w:basedOn w:val="DefaultParagraphFont"/>
    <w:link w:val="Heading7"/>
    <w:rsid w:val="00BC738B"/>
    <w:rPr>
      <w:rFonts w:ascii="Arial" w:eastAsia="Times New Roman" w:hAnsi="Arial" w:cs="Times New Roman"/>
      <w:b/>
      <w:snapToGrid w:val="0"/>
      <w:sz w:val="18"/>
      <w:szCs w:val="18"/>
    </w:rPr>
  </w:style>
  <w:style w:type="character" w:customStyle="1" w:styleId="Heading8Char">
    <w:name w:val="Heading 8 Char"/>
    <w:basedOn w:val="DefaultParagraphFont"/>
    <w:link w:val="Heading8"/>
    <w:rsid w:val="00BC738B"/>
    <w:rPr>
      <w:rFonts w:ascii="Arial" w:eastAsia="Times New Roman" w:hAnsi="Arial" w:cs="Times New Roman"/>
      <w:snapToGrid w:val="0"/>
      <w:sz w:val="16"/>
      <w:szCs w:val="18"/>
      <w:u w:val="single"/>
    </w:rPr>
  </w:style>
  <w:style w:type="character" w:customStyle="1" w:styleId="Heading9Char">
    <w:name w:val="Heading 9 Char"/>
    <w:basedOn w:val="DefaultParagraphFont"/>
    <w:link w:val="Heading9"/>
    <w:rsid w:val="00BC738B"/>
    <w:rPr>
      <w:rFonts w:ascii="Arial" w:eastAsia="Times New Roman" w:hAnsi="Arial" w:cs="Times New Roman"/>
      <w:snapToGrid w:val="0"/>
      <w:sz w:val="18"/>
      <w:szCs w:val="18"/>
      <w:u w:val="single"/>
    </w:rPr>
  </w:style>
  <w:style w:type="paragraph" w:styleId="Title">
    <w:name w:val="Title"/>
    <w:basedOn w:val="Normal"/>
    <w:link w:val="TitleChar"/>
    <w:qFormat/>
    <w:rsid w:val="00BC738B"/>
    <w:pPr>
      <w:jc w:val="center"/>
    </w:pPr>
    <w:rPr>
      <w:rFonts w:eastAsia="Times New Roman" w:cs="Times New Roman"/>
      <w:b/>
      <w:snapToGrid w:val="0"/>
      <w:sz w:val="18"/>
      <w:szCs w:val="18"/>
    </w:rPr>
  </w:style>
  <w:style w:type="character" w:customStyle="1" w:styleId="TitleChar">
    <w:name w:val="Title Char"/>
    <w:basedOn w:val="DefaultParagraphFont"/>
    <w:link w:val="Title"/>
    <w:rsid w:val="00BC738B"/>
    <w:rPr>
      <w:rFonts w:ascii="Arial" w:eastAsia="Times New Roman" w:hAnsi="Arial" w:cs="Times New Roman"/>
      <w:b/>
      <w:snapToGrid w:val="0"/>
      <w:sz w:val="18"/>
      <w:szCs w:val="18"/>
    </w:rPr>
  </w:style>
  <w:style w:type="paragraph" w:styleId="Subtitle">
    <w:name w:val="Subtitle"/>
    <w:basedOn w:val="Normal"/>
    <w:link w:val="SubtitleChar"/>
    <w:qFormat/>
    <w:rsid w:val="00BC738B"/>
    <w:pPr>
      <w:jc w:val="center"/>
    </w:pPr>
    <w:rPr>
      <w:rFonts w:eastAsia="Times New Roman" w:cs="Times New Roman"/>
      <w:b/>
      <w:snapToGrid w:val="0"/>
      <w:sz w:val="18"/>
      <w:szCs w:val="18"/>
    </w:rPr>
  </w:style>
  <w:style w:type="character" w:customStyle="1" w:styleId="SubtitleChar">
    <w:name w:val="Subtitle Char"/>
    <w:basedOn w:val="DefaultParagraphFont"/>
    <w:link w:val="Subtitle"/>
    <w:rsid w:val="00BC738B"/>
    <w:rPr>
      <w:rFonts w:ascii="Arial" w:eastAsia="Times New Roman" w:hAnsi="Arial" w:cs="Times New Roman"/>
      <w:b/>
      <w:snapToGrid w:val="0"/>
      <w:sz w:val="18"/>
      <w:szCs w:val="18"/>
    </w:rPr>
  </w:style>
  <w:style w:type="paragraph" w:styleId="BodyTextIndent2">
    <w:name w:val="Body Text Indent 2"/>
    <w:basedOn w:val="Normal"/>
    <w:link w:val="BodyTextIndent2Char"/>
    <w:rsid w:val="00BC738B"/>
    <w:pPr>
      <w:ind w:firstLine="450"/>
    </w:pPr>
    <w:rPr>
      <w:rFonts w:eastAsia="Times New Roman" w:cs="Times New Roman"/>
      <w:snapToGrid w:val="0"/>
      <w:sz w:val="18"/>
      <w:szCs w:val="18"/>
    </w:rPr>
  </w:style>
  <w:style w:type="character" w:customStyle="1" w:styleId="BodyTextIndent2Char">
    <w:name w:val="Body Text Indent 2 Char"/>
    <w:basedOn w:val="DefaultParagraphFont"/>
    <w:link w:val="BodyTextIndent2"/>
    <w:rsid w:val="00BC738B"/>
    <w:rPr>
      <w:rFonts w:ascii="Arial" w:eastAsia="Times New Roman" w:hAnsi="Arial" w:cs="Times New Roman"/>
      <w:snapToGrid w:val="0"/>
      <w:sz w:val="18"/>
      <w:szCs w:val="18"/>
    </w:rPr>
  </w:style>
  <w:style w:type="paragraph" w:styleId="TOC1">
    <w:name w:val="toc 1"/>
    <w:basedOn w:val="Normal"/>
    <w:next w:val="Normal"/>
    <w:autoRedefine/>
    <w:semiHidden/>
    <w:rsid w:val="00BC738B"/>
    <w:pPr>
      <w:spacing w:before="120" w:after="120"/>
    </w:pPr>
    <w:rPr>
      <w:rFonts w:eastAsia="Times New Roman" w:cs="Times New Roman"/>
      <w:b/>
      <w:caps/>
      <w:sz w:val="18"/>
      <w:szCs w:val="18"/>
    </w:rPr>
  </w:style>
  <w:style w:type="paragraph" w:styleId="TOC2">
    <w:name w:val="toc 2"/>
    <w:basedOn w:val="Normal"/>
    <w:next w:val="Normal"/>
    <w:autoRedefine/>
    <w:semiHidden/>
    <w:rsid w:val="00BC738B"/>
    <w:pPr>
      <w:ind w:left="200"/>
    </w:pPr>
    <w:rPr>
      <w:rFonts w:eastAsia="Times New Roman" w:cs="Times New Roman"/>
      <w:smallCaps/>
      <w:sz w:val="18"/>
      <w:szCs w:val="18"/>
    </w:rPr>
  </w:style>
  <w:style w:type="paragraph" w:styleId="TOC3">
    <w:name w:val="toc 3"/>
    <w:basedOn w:val="Normal"/>
    <w:next w:val="Normal"/>
    <w:autoRedefine/>
    <w:semiHidden/>
    <w:rsid w:val="00BC738B"/>
    <w:pPr>
      <w:ind w:left="400"/>
    </w:pPr>
    <w:rPr>
      <w:rFonts w:eastAsia="Times New Roman" w:cs="Times New Roman"/>
      <w:i/>
      <w:sz w:val="18"/>
      <w:szCs w:val="18"/>
    </w:rPr>
  </w:style>
  <w:style w:type="paragraph" w:styleId="TOC4">
    <w:name w:val="toc 4"/>
    <w:basedOn w:val="Normal"/>
    <w:next w:val="Normal"/>
    <w:autoRedefine/>
    <w:semiHidden/>
    <w:rsid w:val="00BC738B"/>
    <w:pPr>
      <w:ind w:left="600"/>
    </w:pPr>
    <w:rPr>
      <w:rFonts w:eastAsia="Times New Roman" w:cs="Times New Roman"/>
      <w:sz w:val="18"/>
      <w:szCs w:val="18"/>
    </w:rPr>
  </w:style>
  <w:style w:type="paragraph" w:styleId="TOC5">
    <w:name w:val="toc 5"/>
    <w:basedOn w:val="Normal"/>
    <w:next w:val="Normal"/>
    <w:autoRedefine/>
    <w:semiHidden/>
    <w:rsid w:val="00BC738B"/>
    <w:pPr>
      <w:ind w:left="800"/>
    </w:pPr>
    <w:rPr>
      <w:rFonts w:eastAsia="Times New Roman" w:cs="Times New Roman"/>
      <w:sz w:val="18"/>
      <w:szCs w:val="18"/>
    </w:rPr>
  </w:style>
  <w:style w:type="paragraph" w:styleId="TOC6">
    <w:name w:val="toc 6"/>
    <w:basedOn w:val="Normal"/>
    <w:next w:val="Normal"/>
    <w:autoRedefine/>
    <w:semiHidden/>
    <w:rsid w:val="00BC738B"/>
    <w:pPr>
      <w:ind w:left="1000"/>
    </w:pPr>
    <w:rPr>
      <w:rFonts w:eastAsia="Times New Roman" w:cs="Times New Roman"/>
      <w:sz w:val="18"/>
      <w:szCs w:val="18"/>
    </w:rPr>
  </w:style>
  <w:style w:type="paragraph" w:styleId="TOC7">
    <w:name w:val="toc 7"/>
    <w:basedOn w:val="Normal"/>
    <w:next w:val="Normal"/>
    <w:autoRedefine/>
    <w:semiHidden/>
    <w:rsid w:val="00BC738B"/>
    <w:pPr>
      <w:ind w:left="1200"/>
    </w:pPr>
    <w:rPr>
      <w:rFonts w:eastAsia="Times New Roman" w:cs="Times New Roman"/>
      <w:sz w:val="18"/>
      <w:szCs w:val="18"/>
    </w:rPr>
  </w:style>
  <w:style w:type="paragraph" w:styleId="TOC8">
    <w:name w:val="toc 8"/>
    <w:basedOn w:val="Normal"/>
    <w:next w:val="Normal"/>
    <w:autoRedefine/>
    <w:semiHidden/>
    <w:rsid w:val="00BC738B"/>
    <w:pPr>
      <w:ind w:left="1400"/>
    </w:pPr>
    <w:rPr>
      <w:rFonts w:eastAsia="Times New Roman" w:cs="Times New Roman"/>
      <w:sz w:val="18"/>
      <w:szCs w:val="18"/>
    </w:rPr>
  </w:style>
  <w:style w:type="paragraph" w:styleId="TOC9">
    <w:name w:val="toc 9"/>
    <w:basedOn w:val="Normal"/>
    <w:next w:val="Normal"/>
    <w:autoRedefine/>
    <w:semiHidden/>
    <w:rsid w:val="00BC738B"/>
    <w:pPr>
      <w:ind w:left="1600"/>
    </w:pPr>
    <w:rPr>
      <w:rFonts w:eastAsia="Times New Roman" w:cs="Times New Roman"/>
      <w:sz w:val="18"/>
      <w:szCs w:val="18"/>
    </w:rPr>
  </w:style>
  <w:style w:type="paragraph" w:styleId="Index3">
    <w:name w:val="index 3"/>
    <w:basedOn w:val="Normal"/>
    <w:next w:val="Normal"/>
    <w:autoRedefine/>
    <w:semiHidden/>
    <w:rsid w:val="00BC738B"/>
    <w:pPr>
      <w:ind w:left="600" w:hanging="200"/>
    </w:pPr>
    <w:rPr>
      <w:rFonts w:eastAsia="Times New Roman" w:cs="Times New Roman"/>
      <w:sz w:val="18"/>
      <w:szCs w:val="18"/>
    </w:rPr>
  </w:style>
  <w:style w:type="paragraph" w:styleId="Index4">
    <w:name w:val="index 4"/>
    <w:basedOn w:val="Normal"/>
    <w:next w:val="Normal"/>
    <w:autoRedefine/>
    <w:semiHidden/>
    <w:rsid w:val="00BC738B"/>
    <w:pPr>
      <w:ind w:left="800" w:hanging="200"/>
    </w:pPr>
    <w:rPr>
      <w:rFonts w:eastAsia="Times New Roman" w:cs="Times New Roman"/>
      <w:sz w:val="18"/>
      <w:szCs w:val="18"/>
    </w:rPr>
  </w:style>
  <w:style w:type="paragraph" w:styleId="Index5">
    <w:name w:val="index 5"/>
    <w:basedOn w:val="Normal"/>
    <w:next w:val="Normal"/>
    <w:autoRedefine/>
    <w:semiHidden/>
    <w:rsid w:val="00BC738B"/>
    <w:pPr>
      <w:ind w:left="1000" w:hanging="200"/>
    </w:pPr>
    <w:rPr>
      <w:rFonts w:eastAsia="Times New Roman" w:cs="Times New Roman"/>
      <w:sz w:val="18"/>
      <w:szCs w:val="18"/>
    </w:rPr>
  </w:style>
  <w:style w:type="paragraph" w:styleId="Index6">
    <w:name w:val="index 6"/>
    <w:basedOn w:val="Normal"/>
    <w:next w:val="Normal"/>
    <w:autoRedefine/>
    <w:semiHidden/>
    <w:rsid w:val="00BC738B"/>
    <w:pPr>
      <w:ind w:left="1200" w:hanging="200"/>
    </w:pPr>
    <w:rPr>
      <w:rFonts w:eastAsia="Times New Roman" w:cs="Times New Roman"/>
      <w:sz w:val="18"/>
      <w:szCs w:val="18"/>
    </w:rPr>
  </w:style>
  <w:style w:type="paragraph" w:styleId="Index7">
    <w:name w:val="index 7"/>
    <w:basedOn w:val="Normal"/>
    <w:next w:val="Normal"/>
    <w:autoRedefine/>
    <w:semiHidden/>
    <w:rsid w:val="00BC738B"/>
    <w:pPr>
      <w:ind w:left="1400" w:hanging="200"/>
    </w:pPr>
    <w:rPr>
      <w:rFonts w:eastAsia="Times New Roman" w:cs="Times New Roman"/>
      <w:sz w:val="18"/>
      <w:szCs w:val="18"/>
    </w:rPr>
  </w:style>
  <w:style w:type="paragraph" w:styleId="Index8">
    <w:name w:val="index 8"/>
    <w:basedOn w:val="Normal"/>
    <w:next w:val="Normal"/>
    <w:autoRedefine/>
    <w:semiHidden/>
    <w:rsid w:val="00BC738B"/>
    <w:pPr>
      <w:ind w:left="1600" w:hanging="200"/>
    </w:pPr>
    <w:rPr>
      <w:rFonts w:eastAsia="Times New Roman" w:cs="Times New Roman"/>
      <w:sz w:val="18"/>
      <w:szCs w:val="18"/>
    </w:rPr>
  </w:style>
  <w:style w:type="paragraph" w:styleId="Index9">
    <w:name w:val="index 9"/>
    <w:basedOn w:val="Normal"/>
    <w:next w:val="Normal"/>
    <w:autoRedefine/>
    <w:semiHidden/>
    <w:rsid w:val="00BC738B"/>
    <w:pPr>
      <w:ind w:left="1800" w:hanging="200"/>
    </w:pPr>
    <w:rPr>
      <w:rFonts w:eastAsia="Times New Roman" w:cs="Times New Roman"/>
      <w:sz w:val="18"/>
      <w:szCs w:val="18"/>
    </w:rPr>
  </w:style>
  <w:style w:type="paragraph" w:styleId="IndexHeading">
    <w:name w:val="index heading"/>
    <w:basedOn w:val="Normal"/>
    <w:next w:val="Index1"/>
    <w:semiHidden/>
    <w:rsid w:val="00BC738B"/>
    <w:rPr>
      <w:rFonts w:eastAsia="Times New Roman" w:cs="Times New Roman"/>
      <w:sz w:val="18"/>
      <w:szCs w:val="18"/>
    </w:rPr>
  </w:style>
  <w:style w:type="paragraph" w:styleId="TableofAuthorities">
    <w:name w:val="table of authorities"/>
    <w:basedOn w:val="Normal"/>
    <w:next w:val="Normal"/>
    <w:semiHidden/>
    <w:rsid w:val="00BC738B"/>
    <w:pPr>
      <w:ind w:left="200" w:hanging="200"/>
    </w:pPr>
    <w:rPr>
      <w:rFonts w:eastAsia="Times New Roman" w:cs="Times New Roman"/>
      <w:sz w:val="18"/>
      <w:szCs w:val="18"/>
    </w:rPr>
  </w:style>
  <w:style w:type="paragraph" w:styleId="TOAHeading">
    <w:name w:val="toa heading"/>
    <w:basedOn w:val="Normal"/>
    <w:next w:val="Normal"/>
    <w:semiHidden/>
    <w:rsid w:val="00BC738B"/>
    <w:pPr>
      <w:spacing w:before="120"/>
    </w:pPr>
    <w:rPr>
      <w:rFonts w:eastAsia="Times New Roman" w:cs="Times New Roman"/>
      <w:b/>
      <w:caps/>
      <w:sz w:val="24"/>
      <w:szCs w:val="18"/>
    </w:rPr>
  </w:style>
  <w:style w:type="paragraph" w:styleId="BodyText3">
    <w:name w:val="Body Text 3"/>
    <w:basedOn w:val="Normal"/>
    <w:link w:val="BodyText3Char"/>
    <w:rsid w:val="00BC738B"/>
    <w:rPr>
      <w:rFonts w:eastAsia="Times New Roman" w:cs="Times New Roman"/>
      <w:sz w:val="18"/>
      <w:szCs w:val="18"/>
    </w:rPr>
  </w:style>
  <w:style w:type="character" w:customStyle="1" w:styleId="BodyText3Char">
    <w:name w:val="Body Text 3 Char"/>
    <w:basedOn w:val="DefaultParagraphFont"/>
    <w:link w:val="BodyText3"/>
    <w:rsid w:val="00BC738B"/>
    <w:rPr>
      <w:rFonts w:ascii="Arial" w:eastAsia="Times New Roman" w:hAnsi="Arial" w:cs="Times New Roman"/>
      <w:sz w:val="18"/>
      <w:szCs w:val="18"/>
    </w:rPr>
  </w:style>
  <w:style w:type="paragraph" w:styleId="DocumentMap">
    <w:name w:val="Document Map"/>
    <w:basedOn w:val="Normal"/>
    <w:link w:val="DocumentMapChar"/>
    <w:semiHidden/>
    <w:rsid w:val="00BC738B"/>
    <w:pPr>
      <w:shd w:val="clear" w:color="auto" w:fill="000080"/>
    </w:pPr>
    <w:rPr>
      <w:rFonts w:ascii="Tahoma" w:eastAsia="Times New Roman" w:hAnsi="Tahoma" w:cs="Times New Roman"/>
      <w:sz w:val="18"/>
      <w:szCs w:val="18"/>
    </w:rPr>
  </w:style>
  <w:style w:type="character" w:customStyle="1" w:styleId="DocumentMapChar">
    <w:name w:val="Document Map Char"/>
    <w:basedOn w:val="DefaultParagraphFont"/>
    <w:link w:val="DocumentMap"/>
    <w:semiHidden/>
    <w:rsid w:val="00BC738B"/>
    <w:rPr>
      <w:rFonts w:ascii="Tahoma" w:eastAsia="Times New Roman" w:hAnsi="Tahoma" w:cs="Times New Roman"/>
      <w:sz w:val="18"/>
      <w:szCs w:val="18"/>
      <w:shd w:val="clear" w:color="auto" w:fill="000080"/>
    </w:rPr>
  </w:style>
  <w:style w:type="paragraph" w:styleId="ListBullet3">
    <w:name w:val="List Bullet 3"/>
    <w:basedOn w:val="Normal"/>
    <w:link w:val="ListBullet3Char"/>
    <w:autoRedefine/>
    <w:rsid w:val="00BC738B"/>
    <w:pPr>
      <w:numPr>
        <w:numId w:val="1"/>
      </w:numPr>
    </w:pPr>
    <w:rPr>
      <w:rFonts w:eastAsia="Times New Roman" w:cs="Times New Roman"/>
      <w:sz w:val="18"/>
      <w:szCs w:val="18"/>
    </w:rPr>
  </w:style>
  <w:style w:type="character" w:customStyle="1" w:styleId="ListBullet3Char">
    <w:name w:val="List Bullet 3 Char"/>
    <w:link w:val="ListBullet3"/>
    <w:rsid w:val="00BC738B"/>
    <w:rPr>
      <w:rFonts w:ascii="Arial" w:eastAsia="Times New Roman" w:hAnsi="Arial" w:cs="Times New Roman"/>
      <w:sz w:val="18"/>
      <w:szCs w:val="18"/>
    </w:rPr>
  </w:style>
  <w:style w:type="paragraph" w:customStyle="1" w:styleId="Style11">
    <w:name w:val="Style11"/>
    <w:basedOn w:val="TOAHeading"/>
    <w:rsid w:val="00BC738B"/>
    <w:pPr>
      <w:jc w:val="center"/>
    </w:pPr>
    <w:rPr>
      <w:rFonts w:ascii="Helvetica" w:hAnsi="Helvetica"/>
      <w:b w:val="0"/>
      <w:caps w:val="0"/>
      <w:sz w:val="18"/>
    </w:rPr>
  </w:style>
  <w:style w:type="paragraph" w:customStyle="1" w:styleId="REQUIRE0">
    <w:name w:val="REQUIRE"/>
    <w:basedOn w:val="Normal"/>
    <w:rsid w:val="00BC738B"/>
    <w:pPr>
      <w:jc w:val="center"/>
    </w:pPr>
    <w:rPr>
      <w:rFonts w:eastAsia="Times New Roman" w:cs="Times New Roman"/>
      <w:b/>
      <w:caps/>
      <w:sz w:val="18"/>
      <w:szCs w:val="18"/>
    </w:rPr>
  </w:style>
  <w:style w:type="paragraph" w:styleId="List">
    <w:name w:val="List"/>
    <w:basedOn w:val="Normal"/>
    <w:rsid w:val="00BC738B"/>
    <w:pPr>
      <w:ind w:left="360" w:hanging="360"/>
    </w:pPr>
    <w:rPr>
      <w:rFonts w:eastAsia="Times New Roman" w:cs="Times New Roman"/>
      <w:sz w:val="18"/>
      <w:szCs w:val="18"/>
    </w:rPr>
  </w:style>
  <w:style w:type="paragraph" w:styleId="List2">
    <w:name w:val="List 2"/>
    <w:basedOn w:val="Normal"/>
    <w:rsid w:val="00BC738B"/>
    <w:pPr>
      <w:ind w:left="720" w:hanging="360"/>
    </w:pPr>
    <w:rPr>
      <w:rFonts w:eastAsia="Times New Roman" w:cs="Times New Roman"/>
      <w:snapToGrid w:val="0"/>
      <w:sz w:val="18"/>
      <w:szCs w:val="18"/>
    </w:rPr>
  </w:style>
  <w:style w:type="paragraph" w:styleId="List3">
    <w:name w:val="List 3"/>
    <w:basedOn w:val="Normal"/>
    <w:rsid w:val="00BC738B"/>
    <w:pPr>
      <w:ind w:left="1080" w:hanging="360"/>
    </w:pPr>
    <w:rPr>
      <w:rFonts w:eastAsia="Times New Roman" w:cs="Times New Roman"/>
      <w:sz w:val="18"/>
      <w:szCs w:val="18"/>
    </w:rPr>
  </w:style>
  <w:style w:type="paragraph" w:styleId="List4">
    <w:name w:val="List 4"/>
    <w:basedOn w:val="Normal"/>
    <w:rsid w:val="00BC738B"/>
    <w:pPr>
      <w:ind w:left="1440" w:hanging="360"/>
    </w:pPr>
    <w:rPr>
      <w:rFonts w:eastAsia="Times New Roman" w:cs="Times New Roman"/>
      <w:sz w:val="18"/>
      <w:szCs w:val="18"/>
    </w:rPr>
  </w:style>
  <w:style w:type="character" w:styleId="LineNumber">
    <w:name w:val="line number"/>
    <w:basedOn w:val="DefaultParagraphFont"/>
    <w:rsid w:val="00BC738B"/>
  </w:style>
  <w:style w:type="paragraph" w:styleId="EndnoteText">
    <w:name w:val="endnote text"/>
    <w:basedOn w:val="Normal"/>
    <w:link w:val="EndnoteTextChar"/>
    <w:rsid w:val="00BC738B"/>
    <w:rPr>
      <w:rFonts w:eastAsia="Times New Roman" w:cs="Times New Roman"/>
      <w:sz w:val="20"/>
      <w:szCs w:val="20"/>
    </w:rPr>
  </w:style>
  <w:style w:type="character" w:customStyle="1" w:styleId="EndnoteTextChar">
    <w:name w:val="Endnote Text Char"/>
    <w:basedOn w:val="DefaultParagraphFont"/>
    <w:link w:val="EndnoteText"/>
    <w:rsid w:val="00BC738B"/>
    <w:rPr>
      <w:rFonts w:ascii="Arial" w:eastAsia="Times New Roman" w:hAnsi="Arial" w:cs="Times New Roman"/>
      <w:sz w:val="20"/>
      <w:szCs w:val="20"/>
    </w:rPr>
  </w:style>
  <w:style w:type="character" w:styleId="EndnoteReference">
    <w:name w:val="endnote reference"/>
    <w:rsid w:val="00BC738B"/>
    <w:rPr>
      <w:vertAlign w:val="superscript"/>
    </w:rPr>
  </w:style>
  <w:style w:type="paragraph" w:customStyle="1" w:styleId="Style2">
    <w:name w:val="Style2"/>
    <w:basedOn w:val="Header"/>
    <w:rsid w:val="00BC738B"/>
    <w:pPr>
      <w:tabs>
        <w:tab w:val="clear" w:pos="4320"/>
        <w:tab w:val="clear" w:pos="8640"/>
      </w:tabs>
      <w:jc w:val="left"/>
    </w:pPr>
    <w:rPr>
      <w:rFonts w:ascii="Helvetica" w:hAnsi="Helvetica"/>
      <w:b/>
      <w:szCs w:val="18"/>
    </w:rPr>
  </w:style>
  <w:style w:type="paragraph" w:customStyle="1" w:styleId="Style3">
    <w:name w:val="Style3"/>
    <w:basedOn w:val="TOC1"/>
    <w:rsid w:val="00BC738B"/>
    <w:pPr>
      <w:tabs>
        <w:tab w:val="left" w:pos="1440"/>
        <w:tab w:val="right" w:leader="dot" w:pos="10080"/>
      </w:tabs>
      <w:spacing w:before="0"/>
    </w:pPr>
    <w:rPr>
      <w:rFonts w:ascii="Helvetica" w:hAnsi="Helvetica"/>
      <w:b w:val="0"/>
      <w:caps w:val="0"/>
      <w:sz w:val="22"/>
    </w:rPr>
  </w:style>
  <w:style w:type="paragraph" w:styleId="Caption">
    <w:name w:val="caption"/>
    <w:basedOn w:val="Normal"/>
    <w:next w:val="Normal"/>
    <w:qFormat/>
    <w:rsid w:val="00BC738B"/>
    <w:rPr>
      <w:rFonts w:eastAsia="Times New Roman" w:cs="Times New Roman"/>
      <w:b/>
      <w:sz w:val="18"/>
      <w:szCs w:val="18"/>
    </w:rPr>
  </w:style>
  <w:style w:type="paragraph" w:styleId="NoSpacing">
    <w:name w:val="No Spacing"/>
    <w:uiPriority w:val="1"/>
    <w:qFormat/>
    <w:rsid w:val="00BC738B"/>
    <w:pPr>
      <w:jc w:val="both"/>
    </w:pPr>
    <w:rPr>
      <w:rFonts w:ascii="Arial" w:eastAsia="Times New Roman" w:hAnsi="Arial" w:cs="Times New Roman"/>
    </w:rPr>
  </w:style>
  <w:style w:type="paragraph" w:customStyle="1" w:styleId="StyleFirstline025">
    <w:name w:val="Style First line:  0.25&quot;"/>
    <w:basedOn w:val="Normal"/>
    <w:rsid w:val="00BC738B"/>
    <w:pPr>
      <w:ind w:firstLine="360"/>
    </w:pPr>
    <w:rPr>
      <w:rFonts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E2D3-67CE-4196-AC9D-BA74C043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1B5A0920.dotm</Template>
  <TotalTime>275</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Emulsified Asphalts</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Emulsified Asphalts</dc:title>
  <dc:subject>E 08/01/19</dc:subject>
  <dc:creator>BDE</dc:creator>
  <cp:keywords/>
  <dc:description/>
  <cp:lastModifiedBy>Kelley, Allysia</cp:lastModifiedBy>
  <cp:revision>11</cp:revision>
  <cp:lastPrinted>2019-04-15T20:09:00Z</cp:lastPrinted>
  <dcterms:created xsi:type="dcterms:W3CDTF">2019-03-29T20:36:00Z</dcterms:created>
  <dcterms:modified xsi:type="dcterms:W3CDTF">2019-04-16T15:37:00Z</dcterms:modified>
</cp:coreProperties>
</file>