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  <w:bookmarkStart w:id="0" w:name="_GoBack"/>
      <w:bookmarkEnd w:id="0"/>
    </w:p>
    <w:p w:rsidR="002839F7" w:rsidRDefault="002839F7" w:rsidP="002952B0">
      <w:pPr>
        <w:tabs>
          <w:tab w:val="left" w:pos="1152"/>
        </w:tabs>
        <w:spacing w:before="120" w:line="324" w:lineRule="auto"/>
      </w:pPr>
      <w:r>
        <w:tab/>
      </w:r>
      <w:r w:rsidR="00764CE9">
        <w:rPr>
          <w:rFonts w:cs="Arial"/>
          <w:szCs w:val="22"/>
        </w:rPr>
        <w:t xml:space="preserve">Jack </w:t>
      </w:r>
      <w:r w:rsidR="00D603FF">
        <w:rPr>
          <w:rFonts w:cs="Arial"/>
          <w:szCs w:val="22"/>
        </w:rPr>
        <w:t xml:space="preserve">A. </w:t>
      </w:r>
      <w:r w:rsidR="00764CE9">
        <w:rPr>
          <w:rFonts w:cs="Arial"/>
          <w:szCs w:val="22"/>
        </w:rPr>
        <w:t>Elston</w:t>
      </w:r>
    </w:p>
    <w:p w:rsidR="002839F7" w:rsidRDefault="002839F7" w:rsidP="001A1FA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764CE9">
        <w:t xml:space="preserve">Traffic Control </w:t>
      </w:r>
      <w:r w:rsidR="00806318">
        <w:t>Devices</w:t>
      </w:r>
      <w:r w:rsidR="00764CE9">
        <w:t xml:space="preserve"> - Cones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FE63A2">
        <w:t>September 2</w:t>
      </w:r>
      <w:r w:rsidR="00FA1F1D">
        <w:t>8</w:t>
      </w:r>
      <w:r w:rsidR="00FE63A2">
        <w:t>, 201</w:t>
      </w:r>
      <w:r w:rsidR="00FA1F1D">
        <w:t>8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6D6983" w:rsidRDefault="00254AE7" w:rsidP="00E63388">
      <w:r>
        <w:t xml:space="preserve">This special provision was developed </w:t>
      </w:r>
      <w:r w:rsidR="00FA1F1D">
        <w:t xml:space="preserve">to </w:t>
      </w:r>
      <w:r w:rsidR="006C54DF">
        <w:t xml:space="preserve">provide clarification on the use of cones </w:t>
      </w:r>
      <w:r w:rsidR="00806318">
        <w:t>for channelizing traffic during nighttime operations</w:t>
      </w:r>
      <w:r w:rsidR="00E23AAE">
        <w:t xml:space="preserve"> </w:t>
      </w:r>
      <w:r w:rsidR="006C54DF">
        <w:t xml:space="preserve">and to </w:t>
      </w:r>
      <w:r w:rsidR="00E23AAE" w:rsidRPr="00E23AAE">
        <w:t>allow the use of cones taller than 36 in. (900</w:t>
      </w:r>
      <w:r w:rsidR="006C54DF">
        <w:t> </w:t>
      </w:r>
      <w:r w:rsidR="00E23AAE" w:rsidRPr="00E23AAE">
        <w:t>mm</w:t>
      </w:r>
      <w:r w:rsidR="006C54DF">
        <w:t>)</w:t>
      </w:r>
      <w:r w:rsidR="00806318">
        <w:t>.  H</w:t>
      </w:r>
      <w:r w:rsidR="00FA1F1D">
        <w:t>ighway Standard</w:t>
      </w:r>
      <w:r w:rsidR="00806318">
        <w:t>s</w:t>
      </w:r>
      <w:r w:rsidR="00FA1F1D">
        <w:t xml:space="preserve"> </w:t>
      </w:r>
      <w:r w:rsidR="00806318">
        <w:t>701206, 701502, 701602, and 701901 have</w:t>
      </w:r>
      <w:r w:rsidR="00FA1F1D">
        <w:t xml:space="preserve"> </w:t>
      </w:r>
      <w:r w:rsidR="00806318">
        <w:t xml:space="preserve">also been </w:t>
      </w:r>
      <w:r w:rsidR="00FA1F1D">
        <w:t>revised.</w:t>
      </w:r>
    </w:p>
    <w:p w:rsidR="006D6983" w:rsidRDefault="006D6983" w:rsidP="00E63388"/>
    <w:p w:rsidR="00FE63A2" w:rsidRDefault="00FE63A2" w:rsidP="00FE63A2">
      <w:r w:rsidRPr="005902D0">
        <w:rPr>
          <w:szCs w:val="22"/>
        </w:rPr>
        <w:t>This</w:t>
      </w:r>
      <w:r>
        <w:t xml:space="preserve"> special provision should be inserted into all contracts</w:t>
      </w:r>
      <w:r w:rsidR="00FA1F1D">
        <w:t xml:space="preserve"> utilizing traffic control and protection</w:t>
      </w:r>
      <w:r>
        <w:t>.</w:t>
      </w:r>
    </w:p>
    <w:p w:rsidR="00F85B22" w:rsidRDefault="00F85B22" w:rsidP="00E63388"/>
    <w:p w:rsidR="002839F7" w:rsidRDefault="002839F7" w:rsidP="00E63388">
      <w:r>
        <w:t xml:space="preserve">The districts should include the BDE Check Sheet marked with the applicable special provisions for the </w:t>
      </w:r>
      <w:r w:rsidR="00FE63A2">
        <w:t>January 1</w:t>
      </w:r>
      <w:r w:rsidR="00FA1F1D">
        <w:t>8, 2019</w:t>
      </w:r>
      <w:r w:rsidR="00474465">
        <w:t xml:space="preserve"> </w:t>
      </w:r>
      <w:r>
        <w:t xml:space="preserve">and subsequent lettings.  The Project </w:t>
      </w:r>
      <w:r w:rsidR="009D509A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E63388"/>
    <w:p w:rsidR="002839F7" w:rsidRDefault="002839F7" w:rsidP="00E63388">
      <w:r>
        <w:t xml:space="preserve">This special provision will be available on the transfer directory </w:t>
      </w:r>
      <w:r w:rsidR="00FA1F1D">
        <w:br/>
        <w:t>September 28</w:t>
      </w:r>
      <w:r w:rsidR="00FE63A2">
        <w:t xml:space="preserve">, </w:t>
      </w:r>
      <w:r w:rsidR="00FA1F1D">
        <w:t>2018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FA1F1D">
        <w:t>4</w:t>
      </w:r>
      <w:r w:rsidR="00654307">
        <w:t>09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FA1F1D">
      <w:pPr>
        <w:pStyle w:val="Heading1"/>
      </w:pPr>
      <w:r>
        <w:lastRenderedPageBreak/>
        <w:t xml:space="preserve">TRAFFIC CONTROL </w:t>
      </w:r>
      <w:r w:rsidR="00806318">
        <w:t>DEVICES</w:t>
      </w:r>
      <w:r>
        <w:t xml:space="preserve"> - CONES</w:t>
      </w:r>
      <w:r w:rsidR="007F277B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B97DDF" w:rsidRDefault="00B81C7F">
      <w:pPr>
        <w:jc w:val="both"/>
      </w:pPr>
      <w:r>
        <w:t xml:space="preserve">Effective:  </w:t>
      </w:r>
      <w:r w:rsidR="00FE63A2">
        <w:t>January</w:t>
      </w:r>
      <w:r w:rsidR="00767FE0">
        <w:t xml:space="preserve"> 1, 201</w:t>
      </w:r>
      <w:r w:rsidR="00FA1F1D">
        <w:t>9</w:t>
      </w:r>
    </w:p>
    <w:p w:rsidR="00BF7838" w:rsidRDefault="00BF7838">
      <w:pPr>
        <w:jc w:val="both"/>
      </w:pPr>
    </w:p>
    <w:p w:rsidR="00F60BE4" w:rsidRPr="00F60BE4" w:rsidRDefault="00B2674A" w:rsidP="00F60BE4">
      <w:pPr>
        <w:jc w:val="both"/>
        <w:rPr>
          <w:rFonts w:cs="Arial"/>
        </w:rPr>
      </w:pPr>
      <w:r>
        <w:rPr>
          <w:rFonts w:cs="Arial"/>
        </w:rPr>
        <w:t>Revise</w:t>
      </w:r>
      <w:r w:rsidRPr="00F60BE4">
        <w:rPr>
          <w:rFonts w:cs="Arial"/>
        </w:rPr>
        <w:t xml:space="preserve"> </w:t>
      </w:r>
      <w:r w:rsidR="00764062">
        <w:rPr>
          <w:rFonts w:cs="Arial"/>
        </w:rPr>
        <w:t>Article 701.1</w:t>
      </w:r>
      <w:r w:rsidR="00FA1F1D">
        <w:rPr>
          <w:rFonts w:cs="Arial"/>
        </w:rPr>
        <w:t>5(a)</w:t>
      </w:r>
      <w:r w:rsidR="00F60BE4" w:rsidRPr="00F60BE4">
        <w:rPr>
          <w:rFonts w:cs="Arial"/>
        </w:rPr>
        <w:t xml:space="preserve"> </w:t>
      </w:r>
      <w:r w:rsidR="00F60BE4">
        <w:rPr>
          <w:rFonts w:cs="Arial"/>
        </w:rPr>
        <w:t xml:space="preserve">of the </w:t>
      </w:r>
      <w:r w:rsidR="00B97DDF">
        <w:rPr>
          <w:rFonts w:cs="Arial"/>
        </w:rPr>
        <w:t xml:space="preserve">Standard </w:t>
      </w:r>
      <w:r w:rsidR="00F60BE4">
        <w:rPr>
          <w:rFonts w:cs="Arial"/>
        </w:rPr>
        <w:t xml:space="preserve">Specifications </w:t>
      </w:r>
      <w:r>
        <w:rPr>
          <w:rFonts w:cs="Arial"/>
        </w:rPr>
        <w:t>to read</w:t>
      </w:r>
      <w:r w:rsidR="00F60BE4" w:rsidRPr="00F60BE4">
        <w:rPr>
          <w:rFonts w:cs="Arial"/>
        </w:rPr>
        <w:t>:</w:t>
      </w:r>
    </w:p>
    <w:p w:rsidR="00FE63A2" w:rsidRPr="00764062" w:rsidRDefault="00FE63A2" w:rsidP="00983CF9">
      <w:pPr>
        <w:jc w:val="both"/>
        <w:rPr>
          <w:snapToGrid w:val="0"/>
          <w:szCs w:val="22"/>
        </w:rPr>
      </w:pPr>
    </w:p>
    <w:p w:rsidR="00764062" w:rsidRPr="00764062" w:rsidRDefault="00F9693A" w:rsidP="00983CF9">
      <w:pPr>
        <w:tabs>
          <w:tab w:val="left" w:pos="360"/>
        </w:tabs>
        <w:ind w:left="720" w:hanging="450"/>
        <w:jc w:val="both"/>
        <w:rPr>
          <w:rFonts w:cs="Arial"/>
          <w:snapToGrid w:val="0"/>
          <w:szCs w:val="22"/>
        </w:rPr>
      </w:pPr>
      <w:r w:rsidRPr="00F9693A">
        <w:rPr>
          <w:bCs/>
          <w:szCs w:val="22"/>
        </w:rPr>
        <w:t>“</w:t>
      </w:r>
      <w:r>
        <w:rPr>
          <w:b/>
          <w:bCs/>
          <w:szCs w:val="22"/>
        </w:rPr>
        <w:tab/>
      </w:r>
      <w:r w:rsidR="00983CF9">
        <w:rPr>
          <w:bCs/>
          <w:szCs w:val="22"/>
        </w:rPr>
        <w:t>(a)</w:t>
      </w:r>
      <w:r w:rsidR="00983CF9">
        <w:rPr>
          <w:bCs/>
          <w:szCs w:val="22"/>
        </w:rPr>
        <w:tab/>
        <w:t>Cones</w:t>
      </w:r>
      <w:r w:rsidR="00764062" w:rsidRPr="00764062">
        <w:rPr>
          <w:rFonts w:cs="Arial"/>
          <w:snapToGrid w:val="0"/>
          <w:szCs w:val="22"/>
        </w:rPr>
        <w:t>.</w:t>
      </w:r>
      <w:r w:rsidR="00983CF9">
        <w:rPr>
          <w:rFonts w:cs="Arial"/>
          <w:snapToGrid w:val="0"/>
          <w:szCs w:val="22"/>
        </w:rPr>
        <w:t xml:space="preserve">  Cones are used to channelize traffic.  Cones used to channelize traffic at night shall be reflectorized</w:t>
      </w:r>
      <w:r w:rsidR="00771EA1">
        <w:rPr>
          <w:rFonts w:cs="Arial"/>
          <w:snapToGrid w:val="0"/>
          <w:szCs w:val="22"/>
        </w:rPr>
        <w:t xml:space="preserve">; however, cones </w:t>
      </w:r>
      <w:r w:rsidR="00806318">
        <w:rPr>
          <w:rFonts w:cs="Arial"/>
          <w:snapToGrid w:val="0"/>
          <w:szCs w:val="22"/>
        </w:rPr>
        <w:t>shall not</w:t>
      </w:r>
      <w:r w:rsidR="00771EA1">
        <w:rPr>
          <w:rFonts w:cs="Arial"/>
          <w:snapToGrid w:val="0"/>
          <w:szCs w:val="22"/>
        </w:rPr>
        <w:t xml:space="preserve"> </w:t>
      </w:r>
      <w:r w:rsidR="00806318">
        <w:rPr>
          <w:rFonts w:cs="Arial"/>
          <w:snapToGrid w:val="0"/>
          <w:szCs w:val="22"/>
        </w:rPr>
        <w:t xml:space="preserve">be used </w:t>
      </w:r>
      <w:r w:rsidR="00771EA1">
        <w:rPr>
          <w:rFonts w:cs="Arial"/>
          <w:snapToGrid w:val="0"/>
          <w:szCs w:val="22"/>
        </w:rPr>
        <w:t xml:space="preserve">in nighttime </w:t>
      </w:r>
      <w:r w:rsidR="00983CF9">
        <w:rPr>
          <w:rFonts w:cs="Arial"/>
          <w:snapToGrid w:val="0"/>
          <w:szCs w:val="22"/>
        </w:rPr>
        <w:t>lane closure tapers</w:t>
      </w:r>
      <w:r w:rsidR="00771EA1">
        <w:rPr>
          <w:rFonts w:cs="Arial"/>
          <w:snapToGrid w:val="0"/>
          <w:szCs w:val="22"/>
        </w:rPr>
        <w:t xml:space="preserve"> or nighttime</w:t>
      </w:r>
      <w:r w:rsidR="000602E9">
        <w:rPr>
          <w:rFonts w:cs="Arial"/>
          <w:snapToGrid w:val="0"/>
          <w:szCs w:val="22"/>
        </w:rPr>
        <w:t xml:space="preserve"> lane shifts.</w:t>
      </w:r>
      <w:r w:rsidR="00771EA1">
        <w:rPr>
          <w:rFonts w:cs="Arial"/>
          <w:snapToGrid w:val="0"/>
          <w:szCs w:val="22"/>
        </w:rPr>
        <w:t>”</w:t>
      </w:r>
    </w:p>
    <w:p w:rsidR="00764062" w:rsidRPr="00764062" w:rsidRDefault="00764062" w:rsidP="00FA4821">
      <w:pPr>
        <w:ind w:left="720" w:right="-14"/>
        <w:jc w:val="both"/>
        <w:rPr>
          <w:rFonts w:cs="Arial"/>
          <w:snapToGrid w:val="0"/>
          <w:szCs w:val="22"/>
        </w:rPr>
      </w:pPr>
    </w:p>
    <w:p w:rsidR="00FE63A2" w:rsidRDefault="00771EA1" w:rsidP="00983CF9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Revise Article </w:t>
      </w:r>
      <w:r w:rsidR="00A2465F">
        <w:rPr>
          <w:snapToGrid w:val="0"/>
          <w:szCs w:val="22"/>
        </w:rPr>
        <w:t>1106.02(b) of the Standard Specifications to read:</w:t>
      </w:r>
    </w:p>
    <w:p w:rsidR="00A2465F" w:rsidRDefault="00A2465F" w:rsidP="00983CF9">
      <w:pPr>
        <w:jc w:val="both"/>
        <w:rPr>
          <w:snapToGrid w:val="0"/>
          <w:szCs w:val="22"/>
        </w:rPr>
      </w:pPr>
    </w:p>
    <w:p w:rsidR="00FA4821" w:rsidRDefault="00A2465F" w:rsidP="00A2465F">
      <w:pPr>
        <w:tabs>
          <w:tab w:val="left" w:pos="360"/>
        </w:tabs>
        <w:ind w:left="720" w:hanging="450"/>
        <w:jc w:val="both"/>
        <w:rPr>
          <w:snapToGrid w:val="0"/>
          <w:szCs w:val="22"/>
        </w:rPr>
      </w:pPr>
      <w:r w:rsidRPr="00A2465F">
        <w:rPr>
          <w:bCs/>
          <w:snapToGrid w:val="0"/>
          <w:szCs w:val="22"/>
        </w:rPr>
        <w:t>“</w:t>
      </w:r>
      <w:r w:rsidRPr="00A2465F">
        <w:rPr>
          <w:b/>
          <w:bCs/>
          <w:snapToGrid w:val="0"/>
          <w:szCs w:val="22"/>
        </w:rPr>
        <w:tab/>
      </w:r>
      <w:r w:rsidRPr="00A2465F">
        <w:rPr>
          <w:bCs/>
          <w:snapToGrid w:val="0"/>
          <w:szCs w:val="22"/>
        </w:rPr>
        <w:t>(</w:t>
      </w:r>
      <w:r>
        <w:rPr>
          <w:bCs/>
          <w:snapToGrid w:val="0"/>
          <w:szCs w:val="22"/>
        </w:rPr>
        <w:t>b</w:t>
      </w:r>
      <w:r w:rsidRPr="00A2465F">
        <w:rPr>
          <w:bCs/>
          <w:snapToGrid w:val="0"/>
          <w:szCs w:val="22"/>
        </w:rPr>
        <w:t>)</w:t>
      </w:r>
      <w:r w:rsidRPr="00A2465F">
        <w:rPr>
          <w:bCs/>
          <w:snapToGrid w:val="0"/>
          <w:szCs w:val="22"/>
        </w:rPr>
        <w:tab/>
        <w:t>Cones</w:t>
      </w:r>
      <w:r w:rsidRPr="00A2465F">
        <w:rPr>
          <w:snapToGrid w:val="0"/>
          <w:szCs w:val="22"/>
        </w:rPr>
        <w:t>.  Cones shall be</w:t>
      </w:r>
      <w:r w:rsidR="006C54DF">
        <w:rPr>
          <w:snapToGrid w:val="0"/>
          <w:szCs w:val="22"/>
        </w:rPr>
        <w:t xml:space="preserve"> predominantly</w:t>
      </w:r>
      <w:r w:rsidRPr="00A2465F">
        <w:rPr>
          <w:snapToGrid w:val="0"/>
          <w:szCs w:val="22"/>
        </w:rPr>
        <w:t xml:space="preserve"> orange.  </w:t>
      </w:r>
      <w:r w:rsidR="00FA4821" w:rsidRPr="00FA4821">
        <w:rPr>
          <w:snapToGrid w:val="0"/>
          <w:szCs w:val="22"/>
        </w:rPr>
        <w:t xml:space="preserve">Cones used at night that are 28 to 36 in. </w:t>
      </w:r>
      <w:r w:rsidR="0062089D">
        <w:rPr>
          <w:snapToGrid w:val="0"/>
          <w:szCs w:val="22"/>
        </w:rPr>
        <w:t xml:space="preserve">(700 to 900 mm) </w:t>
      </w:r>
      <w:r w:rsidR="00FA4821" w:rsidRPr="00FA4821">
        <w:rPr>
          <w:snapToGrid w:val="0"/>
          <w:szCs w:val="22"/>
        </w:rPr>
        <w:t>in height shall have two white circumferential strip</w:t>
      </w:r>
      <w:r w:rsidR="006C54DF">
        <w:rPr>
          <w:snapToGrid w:val="0"/>
          <w:szCs w:val="22"/>
        </w:rPr>
        <w:t>e</w:t>
      </w:r>
      <w:r w:rsidR="00FA4821" w:rsidRPr="00FA4821">
        <w:rPr>
          <w:snapToGrid w:val="0"/>
          <w:szCs w:val="22"/>
        </w:rPr>
        <w:t xml:space="preserve">s.  </w:t>
      </w:r>
      <w:r w:rsidR="0062089D" w:rsidRPr="0062089D">
        <w:rPr>
          <w:snapToGrid w:val="0"/>
          <w:szCs w:val="22"/>
        </w:rPr>
        <w:t>If non-reflective spaces are left between the stripes, the spaces shall be no more than 2 in. (50mm) in width</w:t>
      </w:r>
      <w:r w:rsidR="0062089D">
        <w:rPr>
          <w:snapToGrid w:val="0"/>
          <w:szCs w:val="22"/>
        </w:rPr>
        <w:t xml:space="preserve">. </w:t>
      </w:r>
      <w:r w:rsidR="0062089D" w:rsidRPr="0062089D">
        <w:rPr>
          <w:snapToGrid w:val="0"/>
          <w:szCs w:val="22"/>
        </w:rPr>
        <w:t xml:space="preserve"> </w:t>
      </w:r>
      <w:r w:rsidR="00FA4821" w:rsidRPr="00FA4821">
        <w:rPr>
          <w:snapToGrid w:val="0"/>
          <w:szCs w:val="22"/>
        </w:rPr>
        <w:t xml:space="preserve">Cones used at night that are taller than 36 in. </w:t>
      </w:r>
      <w:r w:rsidR="0062089D">
        <w:rPr>
          <w:snapToGrid w:val="0"/>
          <w:szCs w:val="22"/>
        </w:rPr>
        <w:t xml:space="preserve">(900 mm) </w:t>
      </w:r>
      <w:r w:rsidR="00FA4821" w:rsidRPr="00FA4821">
        <w:rPr>
          <w:snapToGrid w:val="0"/>
          <w:szCs w:val="22"/>
        </w:rPr>
        <w:t xml:space="preserve">shall have </w:t>
      </w:r>
      <w:r w:rsidR="0062089D">
        <w:rPr>
          <w:snapToGrid w:val="0"/>
          <w:szCs w:val="22"/>
        </w:rPr>
        <w:t xml:space="preserve">a minimum of </w:t>
      </w:r>
      <w:r w:rsidR="00FA4821" w:rsidRPr="00FA4821">
        <w:rPr>
          <w:snapToGrid w:val="0"/>
          <w:szCs w:val="22"/>
        </w:rPr>
        <w:t>two white and two fluorescent orange alternating, circumferential stripes</w:t>
      </w:r>
      <w:r w:rsidR="0062089D">
        <w:rPr>
          <w:snapToGrid w:val="0"/>
          <w:szCs w:val="22"/>
        </w:rPr>
        <w:t xml:space="preserve"> with the top stripe being fluorescent orange</w:t>
      </w:r>
      <w:r w:rsidR="00FA4821" w:rsidRPr="00FA4821">
        <w:rPr>
          <w:snapToGrid w:val="0"/>
          <w:szCs w:val="22"/>
        </w:rPr>
        <w:t>.  If non-reflective spaces are left between the stripes, th</w:t>
      </w:r>
      <w:r w:rsidR="0062089D">
        <w:rPr>
          <w:snapToGrid w:val="0"/>
          <w:szCs w:val="22"/>
        </w:rPr>
        <w:t>e spaces shall be no more than 3</w:t>
      </w:r>
      <w:r w:rsidR="00FA4821" w:rsidRPr="00FA4821">
        <w:rPr>
          <w:snapToGrid w:val="0"/>
          <w:szCs w:val="22"/>
        </w:rPr>
        <w:t xml:space="preserve"> in. (</w:t>
      </w:r>
      <w:r w:rsidR="0062089D">
        <w:rPr>
          <w:snapToGrid w:val="0"/>
          <w:szCs w:val="22"/>
        </w:rPr>
        <w:t xml:space="preserve">75 </w:t>
      </w:r>
      <w:r w:rsidR="00FA4821" w:rsidRPr="00FA4821">
        <w:rPr>
          <w:snapToGrid w:val="0"/>
          <w:szCs w:val="22"/>
        </w:rPr>
        <w:t>mm) in width</w:t>
      </w:r>
      <w:r w:rsidR="00FA4821">
        <w:rPr>
          <w:snapToGrid w:val="0"/>
          <w:szCs w:val="22"/>
        </w:rPr>
        <w:t>.</w:t>
      </w:r>
    </w:p>
    <w:p w:rsidR="00FA4821" w:rsidRDefault="00FA4821" w:rsidP="00FA4821">
      <w:pPr>
        <w:ind w:left="720"/>
        <w:jc w:val="both"/>
        <w:rPr>
          <w:snapToGrid w:val="0"/>
          <w:szCs w:val="22"/>
        </w:rPr>
      </w:pPr>
    </w:p>
    <w:p w:rsidR="00A2465F" w:rsidRPr="00A2465F" w:rsidRDefault="00A2465F" w:rsidP="00FA4821">
      <w:pPr>
        <w:ind w:left="720"/>
        <w:jc w:val="both"/>
        <w:rPr>
          <w:snapToGrid w:val="0"/>
          <w:szCs w:val="22"/>
        </w:rPr>
      </w:pPr>
      <w:r w:rsidRPr="00A2465F">
        <w:rPr>
          <w:snapToGrid w:val="0"/>
          <w:szCs w:val="22"/>
        </w:rPr>
        <w:t>The minimum weights for the various cone heights shall be 4 lb for 18 in. (2 kg for 450</w:t>
      </w:r>
      <w:r w:rsidR="007E372F">
        <w:rPr>
          <w:snapToGrid w:val="0"/>
          <w:szCs w:val="22"/>
        </w:rPr>
        <w:t> </w:t>
      </w:r>
      <w:r w:rsidRPr="00A2465F">
        <w:rPr>
          <w:snapToGrid w:val="0"/>
          <w:szCs w:val="22"/>
        </w:rPr>
        <w:t xml:space="preserve">mm), 7 lb for 28 in. (3 kg for 700 mm), and 10 lb for 36 in. (5 kg for 900 mm) with a minimum of 60 percent of the total weight in the base.  </w:t>
      </w:r>
      <w:r>
        <w:rPr>
          <w:snapToGrid w:val="0"/>
          <w:szCs w:val="22"/>
        </w:rPr>
        <w:t>Cones taller than 36 in. shall be weighted per the manufacturer’s specifications such that they are not mov</w:t>
      </w:r>
      <w:r w:rsidR="002613A9">
        <w:rPr>
          <w:snapToGrid w:val="0"/>
          <w:szCs w:val="22"/>
        </w:rPr>
        <w:t>ed by wind or passing traffic.</w:t>
      </w:r>
      <w:r w:rsidRPr="00A2465F">
        <w:rPr>
          <w:snapToGrid w:val="0"/>
          <w:szCs w:val="22"/>
        </w:rPr>
        <w:t>”</w:t>
      </w:r>
    </w:p>
    <w:p w:rsidR="0083542F" w:rsidRDefault="0083542F" w:rsidP="008E35AD">
      <w:pPr>
        <w:jc w:val="both"/>
        <w:rPr>
          <w:rFonts w:cs="Arial"/>
          <w:szCs w:val="22"/>
        </w:rPr>
      </w:pPr>
    </w:p>
    <w:p w:rsidR="00FA1F1D" w:rsidRPr="00764062" w:rsidRDefault="00FA1F1D" w:rsidP="008E35AD">
      <w:pPr>
        <w:jc w:val="both"/>
        <w:rPr>
          <w:rFonts w:cs="Arial"/>
          <w:szCs w:val="22"/>
        </w:rPr>
      </w:pPr>
    </w:p>
    <w:p w:rsidR="00B81C7F" w:rsidRPr="00764062" w:rsidRDefault="00B81C7F" w:rsidP="008E35AD">
      <w:pPr>
        <w:jc w:val="both"/>
        <w:rPr>
          <w:rFonts w:cs="Arial"/>
          <w:szCs w:val="22"/>
        </w:rPr>
      </w:pPr>
      <w:r w:rsidRPr="00764062">
        <w:rPr>
          <w:rFonts w:cs="Arial"/>
          <w:szCs w:val="22"/>
        </w:rPr>
        <w:t>80</w:t>
      </w:r>
      <w:r w:rsidR="00654307">
        <w:rPr>
          <w:rFonts w:cs="Arial"/>
          <w:szCs w:val="22"/>
        </w:rPr>
        <w:t>409</w:t>
      </w:r>
    </w:p>
    <w:sectPr w:rsidR="00B81C7F" w:rsidRPr="00764062" w:rsidSect="00C97F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BD" w:rsidRDefault="00FF05BD">
      <w:r>
        <w:separator/>
      </w:r>
    </w:p>
  </w:endnote>
  <w:endnote w:type="continuationSeparator" w:id="0">
    <w:p w:rsidR="00FF05BD" w:rsidRDefault="00FF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BD" w:rsidRDefault="00FF05BD">
      <w:r>
        <w:separator/>
      </w:r>
    </w:p>
  </w:footnote>
  <w:footnote w:type="continuationSeparator" w:id="0">
    <w:p w:rsidR="00FF05BD" w:rsidRDefault="00FF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5F73"/>
    <w:rsid w:val="00004146"/>
    <w:rsid w:val="00005777"/>
    <w:rsid w:val="0000601B"/>
    <w:rsid w:val="000068CE"/>
    <w:rsid w:val="00006976"/>
    <w:rsid w:val="00011902"/>
    <w:rsid w:val="00012699"/>
    <w:rsid w:val="000166FD"/>
    <w:rsid w:val="00022791"/>
    <w:rsid w:val="000232A2"/>
    <w:rsid w:val="000246FB"/>
    <w:rsid w:val="00035F07"/>
    <w:rsid w:val="000360A5"/>
    <w:rsid w:val="00043028"/>
    <w:rsid w:val="0004779D"/>
    <w:rsid w:val="00051CC0"/>
    <w:rsid w:val="00054106"/>
    <w:rsid w:val="00055F5B"/>
    <w:rsid w:val="000602E9"/>
    <w:rsid w:val="0006081D"/>
    <w:rsid w:val="0006185A"/>
    <w:rsid w:val="00064DAA"/>
    <w:rsid w:val="00073324"/>
    <w:rsid w:val="00076A6D"/>
    <w:rsid w:val="00083903"/>
    <w:rsid w:val="00084127"/>
    <w:rsid w:val="00084DC0"/>
    <w:rsid w:val="0008689E"/>
    <w:rsid w:val="00092BFC"/>
    <w:rsid w:val="00093E4F"/>
    <w:rsid w:val="00096C74"/>
    <w:rsid w:val="00097A75"/>
    <w:rsid w:val="000A18C0"/>
    <w:rsid w:val="000A2F48"/>
    <w:rsid w:val="000A399D"/>
    <w:rsid w:val="000A4466"/>
    <w:rsid w:val="000A6088"/>
    <w:rsid w:val="000B6C3D"/>
    <w:rsid w:val="000B6FAB"/>
    <w:rsid w:val="000C0C1B"/>
    <w:rsid w:val="000C235C"/>
    <w:rsid w:val="000C4BF6"/>
    <w:rsid w:val="000D1C87"/>
    <w:rsid w:val="000D3643"/>
    <w:rsid w:val="000D589D"/>
    <w:rsid w:val="000D5F65"/>
    <w:rsid w:val="000E27D6"/>
    <w:rsid w:val="000E3653"/>
    <w:rsid w:val="000E4D1B"/>
    <w:rsid w:val="000E6B3A"/>
    <w:rsid w:val="000E711B"/>
    <w:rsid w:val="000F61FA"/>
    <w:rsid w:val="00103E09"/>
    <w:rsid w:val="0011121B"/>
    <w:rsid w:val="001131FB"/>
    <w:rsid w:val="00122C42"/>
    <w:rsid w:val="00123BB4"/>
    <w:rsid w:val="00130D75"/>
    <w:rsid w:val="0013203E"/>
    <w:rsid w:val="00132DBA"/>
    <w:rsid w:val="00151015"/>
    <w:rsid w:val="001534AC"/>
    <w:rsid w:val="00153A74"/>
    <w:rsid w:val="00157A4D"/>
    <w:rsid w:val="00172E58"/>
    <w:rsid w:val="0017412C"/>
    <w:rsid w:val="00180E4D"/>
    <w:rsid w:val="001819EE"/>
    <w:rsid w:val="001839C1"/>
    <w:rsid w:val="001858BD"/>
    <w:rsid w:val="00187260"/>
    <w:rsid w:val="00190994"/>
    <w:rsid w:val="00192C07"/>
    <w:rsid w:val="00194CB6"/>
    <w:rsid w:val="001A1FAB"/>
    <w:rsid w:val="001A3782"/>
    <w:rsid w:val="001A3A9E"/>
    <w:rsid w:val="001A56EC"/>
    <w:rsid w:val="001A6205"/>
    <w:rsid w:val="001B0F9A"/>
    <w:rsid w:val="001B3759"/>
    <w:rsid w:val="001B6516"/>
    <w:rsid w:val="001C009A"/>
    <w:rsid w:val="001C177C"/>
    <w:rsid w:val="001C231D"/>
    <w:rsid w:val="001C6D3B"/>
    <w:rsid w:val="001D09A2"/>
    <w:rsid w:val="001D398A"/>
    <w:rsid w:val="001D401F"/>
    <w:rsid w:val="001E0099"/>
    <w:rsid w:val="001E617D"/>
    <w:rsid w:val="001F0181"/>
    <w:rsid w:val="001F13C9"/>
    <w:rsid w:val="001F176A"/>
    <w:rsid w:val="001F3F95"/>
    <w:rsid w:val="001F5E84"/>
    <w:rsid w:val="001F655C"/>
    <w:rsid w:val="00201A0D"/>
    <w:rsid w:val="00204208"/>
    <w:rsid w:val="002066CE"/>
    <w:rsid w:val="0021216B"/>
    <w:rsid w:val="00215BF0"/>
    <w:rsid w:val="002210EA"/>
    <w:rsid w:val="0022141B"/>
    <w:rsid w:val="00222889"/>
    <w:rsid w:val="002252E7"/>
    <w:rsid w:val="00237DFE"/>
    <w:rsid w:val="00240778"/>
    <w:rsid w:val="00245AB6"/>
    <w:rsid w:val="00250CA3"/>
    <w:rsid w:val="00252E71"/>
    <w:rsid w:val="00254AE7"/>
    <w:rsid w:val="00255AD9"/>
    <w:rsid w:val="00257AC5"/>
    <w:rsid w:val="002613A9"/>
    <w:rsid w:val="00261480"/>
    <w:rsid w:val="002701F8"/>
    <w:rsid w:val="0027345A"/>
    <w:rsid w:val="00275451"/>
    <w:rsid w:val="0028335A"/>
    <w:rsid w:val="002839F7"/>
    <w:rsid w:val="0028757E"/>
    <w:rsid w:val="00294FD3"/>
    <w:rsid w:val="002952B0"/>
    <w:rsid w:val="002A2DBB"/>
    <w:rsid w:val="002A30A1"/>
    <w:rsid w:val="002B5A7C"/>
    <w:rsid w:val="002B7A98"/>
    <w:rsid w:val="002C1E05"/>
    <w:rsid w:val="002C2433"/>
    <w:rsid w:val="002C2B9D"/>
    <w:rsid w:val="002C631E"/>
    <w:rsid w:val="002D1CBE"/>
    <w:rsid w:val="002E1741"/>
    <w:rsid w:val="002E17C7"/>
    <w:rsid w:val="002E33DE"/>
    <w:rsid w:val="002F21A8"/>
    <w:rsid w:val="002F35D1"/>
    <w:rsid w:val="002F792A"/>
    <w:rsid w:val="0030335A"/>
    <w:rsid w:val="00303903"/>
    <w:rsid w:val="00311181"/>
    <w:rsid w:val="003277EC"/>
    <w:rsid w:val="00333830"/>
    <w:rsid w:val="00333CF2"/>
    <w:rsid w:val="00337EF9"/>
    <w:rsid w:val="0034054F"/>
    <w:rsid w:val="00341DF4"/>
    <w:rsid w:val="0034240B"/>
    <w:rsid w:val="00344984"/>
    <w:rsid w:val="00345F4C"/>
    <w:rsid w:val="00346F26"/>
    <w:rsid w:val="00353681"/>
    <w:rsid w:val="003564EB"/>
    <w:rsid w:val="003628ED"/>
    <w:rsid w:val="003634F8"/>
    <w:rsid w:val="00363693"/>
    <w:rsid w:val="003647F7"/>
    <w:rsid w:val="0036566F"/>
    <w:rsid w:val="0037328A"/>
    <w:rsid w:val="00377265"/>
    <w:rsid w:val="003823CB"/>
    <w:rsid w:val="00386555"/>
    <w:rsid w:val="00387DF7"/>
    <w:rsid w:val="003A2691"/>
    <w:rsid w:val="003A4B15"/>
    <w:rsid w:val="003A62EF"/>
    <w:rsid w:val="003A6BD6"/>
    <w:rsid w:val="003A6E89"/>
    <w:rsid w:val="003A7315"/>
    <w:rsid w:val="003B1508"/>
    <w:rsid w:val="003B30F2"/>
    <w:rsid w:val="003D08BF"/>
    <w:rsid w:val="003D1E68"/>
    <w:rsid w:val="003D3844"/>
    <w:rsid w:val="003D3AA8"/>
    <w:rsid w:val="003D61DF"/>
    <w:rsid w:val="003D6CD4"/>
    <w:rsid w:val="003D787A"/>
    <w:rsid w:val="003E28FC"/>
    <w:rsid w:val="003E2FC5"/>
    <w:rsid w:val="003F1094"/>
    <w:rsid w:val="003F4C93"/>
    <w:rsid w:val="003F5559"/>
    <w:rsid w:val="003F59C5"/>
    <w:rsid w:val="003F6895"/>
    <w:rsid w:val="003F74C1"/>
    <w:rsid w:val="003F7E8F"/>
    <w:rsid w:val="00402B4D"/>
    <w:rsid w:val="0040323E"/>
    <w:rsid w:val="00404A2D"/>
    <w:rsid w:val="00405F5B"/>
    <w:rsid w:val="00407D99"/>
    <w:rsid w:val="0041108E"/>
    <w:rsid w:val="00415E8B"/>
    <w:rsid w:val="00422918"/>
    <w:rsid w:val="004231A0"/>
    <w:rsid w:val="00423984"/>
    <w:rsid w:val="00425663"/>
    <w:rsid w:val="00426EC8"/>
    <w:rsid w:val="00426FB1"/>
    <w:rsid w:val="004307F2"/>
    <w:rsid w:val="00435F32"/>
    <w:rsid w:val="00436B80"/>
    <w:rsid w:val="004532CE"/>
    <w:rsid w:val="00453D6E"/>
    <w:rsid w:val="004566A6"/>
    <w:rsid w:val="00457A2E"/>
    <w:rsid w:val="00461413"/>
    <w:rsid w:val="004616BA"/>
    <w:rsid w:val="00462D7A"/>
    <w:rsid w:val="0046548D"/>
    <w:rsid w:val="004666B3"/>
    <w:rsid w:val="00467918"/>
    <w:rsid w:val="00472240"/>
    <w:rsid w:val="00472FFA"/>
    <w:rsid w:val="00473462"/>
    <w:rsid w:val="00474465"/>
    <w:rsid w:val="00483112"/>
    <w:rsid w:val="00485810"/>
    <w:rsid w:val="00486B81"/>
    <w:rsid w:val="0049327E"/>
    <w:rsid w:val="00496ABC"/>
    <w:rsid w:val="004972BD"/>
    <w:rsid w:val="004A2D2A"/>
    <w:rsid w:val="004A79CC"/>
    <w:rsid w:val="004B18C5"/>
    <w:rsid w:val="004B75DC"/>
    <w:rsid w:val="004C67A4"/>
    <w:rsid w:val="004D2AF7"/>
    <w:rsid w:val="004D7F28"/>
    <w:rsid w:val="004E0D63"/>
    <w:rsid w:val="004E358F"/>
    <w:rsid w:val="004F54E1"/>
    <w:rsid w:val="004F6CE7"/>
    <w:rsid w:val="00510691"/>
    <w:rsid w:val="005116E1"/>
    <w:rsid w:val="0051186F"/>
    <w:rsid w:val="00512F21"/>
    <w:rsid w:val="00514BE1"/>
    <w:rsid w:val="00515F73"/>
    <w:rsid w:val="00517177"/>
    <w:rsid w:val="0052314E"/>
    <w:rsid w:val="0052325B"/>
    <w:rsid w:val="005333DC"/>
    <w:rsid w:val="0053693B"/>
    <w:rsid w:val="00541696"/>
    <w:rsid w:val="0054684A"/>
    <w:rsid w:val="00547143"/>
    <w:rsid w:val="005473EB"/>
    <w:rsid w:val="00550CED"/>
    <w:rsid w:val="00553937"/>
    <w:rsid w:val="00555C21"/>
    <w:rsid w:val="005612C1"/>
    <w:rsid w:val="0056171A"/>
    <w:rsid w:val="00563712"/>
    <w:rsid w:val="00565C0A"/>
    <w:rsid w:val="00567D72"/>
    <w:rsid w:val="0057000A"/>
    <w:rsid w:val="00571179"/>
    <w:rsid w:val="005758DA"/>
    <w:rsid w:val="00592681"/>
    <w:rsid w:val="005969E9"/>
    <w:rsid w:val="005A01D5"/>
    <w:rsid w:val="005A0F50"/>
    <w:rsid w:val="005A39AE"/>
    <w:rsid w:val="005A6FE0"/>
    <w:rsid w:val="005B3060"/>
    <w:rsid w:val="005B4F42"/>
    <w:rsid w:val="005C1972"/>
    <w:rsid w:val="005C7AA6"/>
    <w:rsid w:val="005D1F46"/>
    <w:rsid w:val="005D70FC"/>
    <w:rsid w:val="005E07DB"/>
    <w:rsid w:val="005E1D94"/>
    <w:rsid w:val="005E299C"/>
    <w:rsid w:val="005E315F"/>
    <w:rsid w:val="005E7304"/>
    <w:rsid w:val="006011DE"/>
    <w:rsid w:val="00604BC5"/>
    <w:rsid w:val="006134A0"/>
    <w:rsid w:val="0062089D"/>
    <w:rsid w:val="00622ADA"/>
    <w:rsid w:val="0062425A"/>
    <w:rsid w:val="006256AE"/>
    <w:rsid w:val="00626C60"/>
    <w:rsid w:val="00627C63"/>
    <w:rsid w:val="006333C3"/>
    <w:rsid w:val="0064018F"/>
    <w:rsid w:val="00642198"/>
    <w:rsid w:val="00645EBC"/>
    <w:rsid w:val="00654307"/>
    <w:rsid w:val="00654D17"/>
    <w:rsid w:val="0065543A"/>
    <w:rsid w:val="006555C7"/>
    <w:rsid w:val="00656248"/>
    <w:rsid w:val="006569BF"/>
    <w:rsid w:val="006656CC"/>
    <w:rsid w:val="00667694"/>
    <w:rsid w:val="00670CE7"/>
    <w:rsid w:val="00674479"/>
    <w:rsid w:val="00674A35"/>
    <w:rsid w:val="00682A62"/>
    <w:rsid w:val="00682EDD"/>
    <w:rsid w:val="00684AC4"/>
    <w:rsid w:val="00685011"/>
    <w:rsid w:val="00685BCC"/>
    <w:rsid w:val="00695FBF"/>
    <w:rsid w:val="00697D2A"/>
    <w:rsid w:val="006A0BF5"/>
    <w:rsid w:val="006A2983"/>
    <w:rsid w:val="006A2DE6"/>
    <w:rsid w:val="006B2AEC"/>
    <w:rsid w:val="006B5450"/>
    <w:rsid w:val="006C52A9"/>
    <w:rsid w:val="006C54DF"/>
    <w:rsid w:val="006C6700"/>
    <w:rsid w:val="006C67C3"/>
    <w:rsid w:val="006D2520"/>
    <w:rsid w:val="006D5996"/>
    <w:rsid w:val="006D6983"/>
    <w:rsid w:val="006E0799"/>
    <w:rsid w:val="006E377A"/>
    <w:rsid w:val="006E569C"/>
    <w:rsid w:val="006F699F"/>
    <w:rsid w:val="00703D09"/>
    <w:rsid w:val="00704FC2"/>
    <w:rsid w:val="00707139"/>
    <w:rsid w:val="00707DB4"/>
    <w:rsid w:val="0071327D"/>
    <w:rsid w:val="0071577D"/>
    <w:rsid w:val="00720907"/>
    <w:rsid w:val="00721634"/>
    <w:rsid w:val="00727F5E"/>
    <w:rsid w:val="00731F94"/>
    <w:rsid w:val="007371BA"/>
    <w:rsid w:val="00740ABD"/>
    <w:rsid w:val="00741E02"/>
    <w:rsid w:val="007445AF"/>
    <w:rsid w:val="0074634A"/>
    <w:rsid w:val="007466BF"/>
    <w:rsid w:val="00746FC6"/>
    <w:rsid w:val="00747421"/>
    <w:rsid w:val="00754661"/>
    <w:rsid w:val="0075568F"/>
    <w:rsid w:val="00760FCF"/>
    <w:rsid w:val="00764062"/>
    <w:rsid w:val="00764CE9"/>
    <w:rsid w:val="00767FE0"/>
    <w:rsid w:val="00770231"/>
    <w:rsid w:val="00770324"/>
    <w:rsid w:val="00771EA1"/>
    <w:rsid w:val="00774971"/>
    <w:rsid w:val="00780F1C"/>
    <w:rsid w:val="00784778"/>
    <w:rsid w:val="007861E3"/>
    <w:rsid w:val="0078750E"/>
    <w:rsid w:val="00791B52"/>
    <w:rsid w:val="007932AB"/>
    <w:rsid w:val="00796C0D"/>
    <w:rsid w:val="007A01F0"/>
    <w:rsid w:val="007A2779"/>
    <w:rsid w:val="007A638F"/>
    <w:rsid w:val="007A69BA"/>
    <w:rsid w:val="007A7A92"/>
    <w:rsid w:val="007B1547"/>
    <w:rsid w:val="007B241D"/>
    <w:rsid w:val="007B4B7D"/>
    <w:rsid w:val="007B65E2"/>
    <w:rsid w:val="007C4190"/>
    <w:rsid w:val="007D082E"/>
    <w:rsid w:val="007D152E"/>
    <w:rsid w:val="007D1F22"/>
    <w:rsid w:val="007D4F59"/>
    <w:rsid w:val="007D7268"/>
    <w:rsid w:val="007E2B56"/>
    <w:rsid w:val="007E2D13"/>
    <w:rsid w:val="007E35C9"/>
    <w:rsid w:val="007E36BE"/>
    <w:rsid w:val="007E372F"/>
    <w:rsid w:val="007E4B41"/>
    <w:rsid w:val="007E5F69"/>
    <w:rsid w:val="007F130D"/>
    <w:rsid w:val="007F1914"/>
    <w:rsid w:val="007F277B"/>
    <w:rsid w:val="007F6A11"/>
    <w:rsid w:val="007F77FE"/>
    <w:rsid w:val="007F785D"/>
    <w:rsid w:val="00803BE4"/>
    <w:rsid w:val="008056BA"/>
    <w:rsid w:val="00806318"/>
    <w:rsid w:val="00811DAC"/>
    <w:rsid w:val="00813C9D"/>
    <w:rsid w:val="008171D0"/>
    <w:rsid w:val="008206C2"/>
    <w:rsid w:val="00822B2B"/>
    <w:rsid w:val="0082749C"/>
    <w:rsid w:val="0083253A"/>
    <w:rsid w:val="00833956"/>
    <w:rsid w:val="00835161"/>
    <w:rsid w:val="0083542F"/>
    <w:rsid w:val="008354DE"/>
    <w:rsid w:val="008459CA"/>
    <w:rsid w:val="00847CFF"/>
    <w:rsid w:val="0085000D"/>
    <w:rsid w:val="00851BD7"/>
    <w:rsid w:val="008563FC"/>
    <w:rsid w:val="00862C7A"/>
    <w:rsid w:val="00864615"/>
    <w:rsid w:val="00873763"/>
    <w:rsid w:val="008910B8"/>
    <w:rsid w:val="00894DF1"/>
    <w:rsid w:val="008A022B"/>
    <w:rsid w:val="008A4577"/>
    <w:rsid w:val="008A5F20"/>
    <w:rsid w:val="008B1A8D"/>
    <w:rsid w:val="008B4D08"/>
    <w:rsid w:val="008B5199"/>
    <w:rsid w:val="008B76CC"/>
    <w:rsid w:val="008C2448"/>
    <w:rsid w:val="008C43A2"/>
    <w:rsid w:val="008C48CE"/>
    <w:rsid w:val="008D0827"/>
    <w:rsid w:val="008D0FA5"/>
    <w:rsid w:val="008D6FE2"/>
    <w:rsid w:val="008E2F50"/>
    <w:rsid w:val="008E35AD"/>
    <w:rsid w:val="008E4675"/>
    <w:rsid w:val="008E6141"/>
    <w:rsid w:val="008E7E6F"/>
    <w:rsid w:val="008F16CA"/>
    <w:rsid w:val="008F18FB"/>
    <w:rsid w:val="008F4469"/>
    <w:rsid w:val="008F7624"/>
    <w:rsid w:val="00900C50"/>
    <w:rsid w:val="00904B9B"/>
    <w:rsid w:val="00907AEC"/>
    <w:rsid w:val="00911AC9"/>
    <w:rsid w:val="009133E0"/>
    <w:rsid w:val="00913B19"/>
    <w:rsid w:val="00915449"/>
    <w:rsid w:val="0092256E"/>
    <w:rsid w:val="00923214"/>
    <w:rsid w:val="00923EB1"/>
    <w:rsid w:val="0092497D"/>
    <w:rsid w:val="009404FF"/>
    <w:rsid w:val="0094079D"/>
    <w:rsid w:val="00945442"/>
    <w:rsid w:val="00945676"/>
    <w:rsid w:val="00951E65"/>
    <w:rsid w:val="0095259B"/>
    <w:rsid w:val="00955913"/>
    <w:rsid w:val="00956A95"/>
    <w:rsid w:val="009713CB"/>
    <w:rsid w:val="009716C7"/>
    <w:rsid w:val="00983CF9"/>
    <w:rsid w:val="00983E09"/>
    <w:rsid w:val="00985253"/>
    <w:rsid w:val="00992409"/>
    <w:rsid w:val="009B0C77"/>
    <w:rsid w:val="009B3142"/>
    <w:rsid w:val="009B6303"/>
    <w:rsid w:val="009C4CF3"/>
    <w:rsid w:val="009C5CD4"/>
    <w:rsid w:val="009D0D13"/>
    <w:rsid w:val="009D3826"/>
    <w:rsid w:val="009D509A"/>
    <w:rsid w:val="009D52CF"/>
    <w:rsid w:val="009D62D6"/>
    <w:rsid w:val="009D6BF3"/>
    <w:rsid w:val="009E009C"/>
    <w:rsid w:val="009E551D"/>
    <w:rsid w:val="009E606E"/>
    <w:rsid w:val="009E7F94"/>
    <w:rsid w:val="009F16C4"/>
    <w:rsid w:val="00A038A8"/>
    <w:rsid w:val="00A05E3B"/>
    <w:rsid w:val="00A20783"/>
    <w:rsid w:val="00A21889"/>
    <w:rsid w:val="00A21C23"/>
    <w:rsid w:val="00A23F39"/>
    <w:rsid w:val="00A2465F"/>
    <w:rsid w:val="00A2662B"/>
    <w:rsid w:val="00A30454"/>
    <w:rsid w:val="00A32B50"/>
    <w:rsid w:val="00A32FBB"/>
    <w:rsid w:val="00A360AD"/>
    <w:rsid w:val="00A3667E"/>
    <w:rsid w:val="00A36A92"/>
    <w:rsid w:val="00A421BC"/>
    <w:rsid w:val="00A42569"/>
    <w:rsid w:val="00A42F72"/>
    <w:rsid w:val="00A435D3"/>
    <w:rsid w:val="00A529AC"/>
    <w:rsid w:val="00A5357B"/>
    <w:rsid w:val="00A55AB4"/>
    <w:rsid w:val="00A6249D"/>
    <w:rsid w:val="00A63053"/>
    <w:rsid w:val="00A6415C"/>
    <w:rsid w:val="00A64A98"/>
    <w:rsid w:val="00A656AE"/>
    <w:rsid w:val="00A65985"/>
    <w:rsid w:val="00A70EE3"/>
    <w:rsid w:val="00A7124C"/>
    <w:rsid w:val="00A76EFB"/>
    <w:rsid w:val="00A808D0"/>
    <w:rsid w:val="00A81A4A"/>
    <w:rsid w:val="00A82E42"/>
    <w:rsid w:val="00A8316C"/>
    <w:rsid w:val="00A91CE3"/>
    <w:rsid w:val="00A93DBF"/>
    <w:rsid w:val="00AA009D"/>
    <w:rsid w:val="00AA7D1D"/>
    <w:rsid w:val="00AC5F32"/>
    <w:rsid w:val="00AC7C17"/>
    <w:rsid w:val="00AD2DD3"/>
    <w:rsid w:val="00AD3B77"/>
    <w:rsid w:val="00AD6033"/>
    <w:rsid w:val="00AE2D5C"/>
    <w:rsid w:val="00AE4918"/>
    <w:rsid w:val="00AF0B64"/>
    <w:rsid w:val="00AF2584"/>
    <w:rsid w:val="00AF525F"/>
    <w:rsid w:val="00AF537F"/>
    <w:rsid w:val="00AF5CDA"/>
    <w:rsid w:val="00B00E97"/>
    <w:rsid w:val="00B04239"/>
    <w:rsid w:val="00B0599E"/>
    <w:rsid w:val="00B0650C"/>
    <w:rsid w:val="00B11D7D"/>
    <w:rsid w:val="00B13126"/>
    <w:rsid w:val="00B1526F"/>
    <w:rsid w:val="00B17157"/>
    <w:rsid w:val="00B22433"/>
    <w:rsid w:val="00B23CC4"/>
    <w:rsid w:val="00B2674A"/>
    <w:rsid w:val="00B32A16"/>
    <w:rsid w:val="00B4093F"/>
    <w:rsid w:val="00B426E3"/>
    <w:rsid w:val="00B47DC2"/>
    <w:rsid w:val="00B51B4A"/>
    <w:rsid w:val="00B56F01"/>
    <w:rsid w:val="00B63490"/>
    <w:rsid w:val="00B67C63"/>
    <w:rsid w:val="00B70435"/>
    <w:rsid w:val="00B706DF"/>
    <w:rsid w:val="00B76FC9"/>
    <w:rsid w:val="00B81C7F"/>
    <w:rsid w:val="00B8210B"/>
    <w:rsid w:val="00B84A13"/>
    <w:rsid w:val="00B85293"/>
    <w:rsid w:val="00B93415"/>
    <w:rsid w:val="00B951B1"/>
    <w:rsid w:val="00B97426"/>
    <w:rsid w:val="00B97DDF"/>
    <w:rsid w:val="00BA6CC0"/>
    <w:rsid w:val="00BA6D45"/>
    <w:rsid w:val="00BB4619"/>
    <w:rsid w:val="00BC15CE"/>
    <w:rsid w:val="00BC1A97"/>
    <w:rsid w:val="00BC2A9B"/>
    <w:rsid w:val="00BC4924"/>
    <w:rsid w:val="00BC54DE"/>
    <w:rsid w:val="00BC5CB0"/>
    <w:rsid w:val="00BC7DB1"/>
    <w:rsid w:val="00BE68BA"/>
    <w:rsid w:val="00BE7F2B"/>
    <w:rsid w:val="00BF1066"/>
    <w:rsid w:val="00BF10F9"/>
    <w:rsid w:val="00BF164C"/>
    <w:rsid w:val="00BF2BE2"/>
    <w:rsid w:val="00BF5525"/>
    <w:rsid w:val="00BF55B5"/>
    <w:rsid w:val="00BF7838"/>
    <w:rsid w:val="00C04C8D"/>
    <w:rsid w:val="00C0534D"/>
    <w:rsid w:val="00C0577E"/>
    <w:rsid w:val="00C12C1A"/>
    <w:rsid w:val="00C16CAB"/>
    <w:rsid w:val="00C21FEF"/>
    <w:rsid w:val="00C23206"/>
    <w:rsid w:val="00C23EBB"/>
    <w:rsid w:val="00C2463E"/>
    <w:rsid w:val="00C30792"/>
    <w:rsid w:val="00C32786"/>
    <w:rsid w:val="00C346A2"/>
    <w:rsid w:val="00C36F27"/>
    <w:rsid w:val="00C41F06"/>
    <w:rsid w:val="00C422D9"/>
    <w:rsid w:val="00C42E3D"/>
    <w:rsid w:val="00C44B2E"/>
    <w:rsid w:val="00C4777B"/>
    <w:rsid w:val="00C47D56"/>
    <w:rsid w:val="00C561A4"/>
    <w:rsid w:val="00C56B40"/>
    <w:rsid w:val="00C61AA4"/>
    <w:rsid w:val="00C632D6"/>
    <w:rsid w:val="00C65CA5"/>
    <w:rsid w:val="00C6762A"/>
    <w:rsid w:val="00C72DAD"/>
    <w:rsid w:val="00C72FCA"/>
    <w:rsid w:val="00C73945"/>
    <w:rsid w:val="00C77463"/>
    <w:rsid w:val="00C800AD"/>
    <w:rsid w:val="00C80A6E"/>
    <w:rsid w:val="00C8468B"/>
    <w:rsid w:val="00C9039B"/>
    <w:rsid w:val="00C9289F"/>
    <w:rsid w:val="00C92ED4"/>
    <w:rsid w:val="00C96839"/>
    <w:rsid w:val="00C968BE"/>
    <w:rsid w:val="00C97F38"/>
    <w:rsid w:val="00CA370C"/>
    <w:rsid w:val="00CA440E"/>
    <w:rsid w:val="00CB0792"/>
    <w:rsid w:val="00CB366B"/>
    <w:rsid w:val="00CC4869"/>
    <w:rsid w:val="00CD375D"/>
    <w:rsid w:val="00CD455A"/>
    <w:rsid w:val="00CD4E61"/>
    <w:rsid w:val="00CD7C1D"/>
    <w:rsid w:val="00CE101E"/>
    <w:rsid w:val="00CE12DA"/>
    <w:rsid w:val="00CE2740"/>
    <w:rsid w:val="00CF3D8D"/>
    <w:rsid w:val="00CF7CD9"/>
    <w:rsid w:val="00D10EC1"/>
    <w:rsid w:val="00D12C51"/>
    <w:rsid w:val="00D16570"/>
    <w:rsid w:val="00D17240"/>
    <w:rsid w:val="00D17C30"/>
    <w:rsid w:val="00D20703"/>
    <w:rsid w:val="00D226C3"/>
    <w:rsid w:val="00D27328"/>
    <w:rsid w:val="00D27677"/>
    <w:rsid w:val="00D30B5C"/>
    <w:rsid w:val="00D31DE3"/>
    <w:rsid w:val="00D427DD"/>
    <w:rsid w:val="00D47591"/>
    <w:rsid w:val="00D50CA8"/>
    <w:rsid w:val="00D53471"/>
    <w:rsid w:val="00D548CF"/>
    <w:rsid w:val="00D5616F"/>
    <w:rsid w:val="00D56889"/>
    <w:rsid w:val="00D603FF"/>
    <w:rsid w:val="00D629CC"/>
    <w:rsid w:val="00D65EE4"/>
    <w:rsid w:val="00D66723"/>
    <w:rsid w:val="00D67478"/>
    <w:rsid w:val="00D67E89"/>
    <w:rsid w:val="00D734BA"/>
    <w:rsid w:val="00D74141"/>
    <w:rsid w:val="00D8287F"/>
    <w:rsid w:val="00D832AF"/>
    <w:rsid w:val="00D8467E"/>
    <w:rsid w:val="00D84700"/>
    <w:rsid w:val="00D8745C"/>
    <w:rsid w:val="00D938C5"/>
    <w:rsid w:val="00D95E18"/>
    <w:rsid w:val="00DA792A"/>
    <w:rsid w:val="00DB1310"/>
    <w:rsid w:val="00DB5506"/>
    <w:rsid w:val="00DC5520"/>
    <w:rsid w:val="00DC7522"/>
    <w:rsid w:val="00DD03CA"/>
    <w:rsid w:val="00DD1DFE"/>
    <w:rsid w:val="00DD7DE3"/>
    <w:rsid w:val="00DE2A53"/>
    <w:rsid w:val="00DE5F36"/>
    <w:rsid w:val="00DF3571"/>
    <w:rsid w:val="00E002BE"/>
    <w:rsid w:val="00E03591"/>
    <w:rsid w:val="00E12040"/>
    <w:rsid w:val="00E12582"/>
    <w:rsid w:val="00E12C47"/>
    <w:rsid w:val="00E14CFC"/>
    <w:rsid w:val="00E15BDB"/>
    <w:rsid w:val="00E1641E"/>
    <w:rsid w:val="00E2011F"/>
    <w:rsid w:val="00E228CA"/>
    <w:rsid w:val="00E23263"/>
    <w:rsid w:val="00E23AAE"/>
    <w:rsid w:val="00E241DF"/>
    <w:rsid w:val="00E27A33"/>
    <w:rsid w:val="00E3355A"/>
    <w:rsid w:val="00E33DDE"/>
    <w:rsid w:val="00E33F3B"/>
    <w:rsid w:val="00E3446B"/>
    <w:rsid w:val="00E3754F"/>
    <w:rsid w:val="00E432BF"/>
    <w:rsid w:val="00E43C4A"/>
    <w:rsid w:val="00E468D7"/>
    <w:rsid w:val="00E52632"/>
    <w:rsid w:val="00E61700"/>
    <w:rsid w:val="00E61D54"/>
    <w:rsid w:val="00E61E38"/>
    <w:rsid w:val="00E620D4"/>
    <w:rsid w:val="00E63388"/>
    <w:rsid w:val="00E64E83"/>
    <w:rsid w:val="00E65E78"/>
    <w:rsid w:val="00E66948"/>
    <w:rsid w:val="00E67D1F"/>
    <w:rsid w:val="00E70345"/>
    <w:rsid w:val="00E711F2"/>
    <w:rsid w:val="00E73092"/>
    <w:rsid w:val="00E7525D"/>
    <w:rsid w:val="00E77B61"/>
    <w:rsid w:val="00E8267C"/>
    <w:rsid w:val="00E82C3F"/>
    <w:rsid w:val="00E86D23"/>
    <w:rsid w:val="00E93394"/>
    <w:rsid w:val="00E952CA"/>
    <w:rsid w:val="00E95B0F"/>
    <w:rsid w:val="00E97CC0"/>
    <w:rsid w:val="00EA4F5F"/>
    <w:rsid w:val="00EA4FC2"/>
    <w:rsid w:val="00EB43B2"/>
    <w:rsid w:val="00EC3D7D"/>
    <w:rsid w:val="00EC4F16"/>
    <w:rsid w:val="00ED12BF"/>
    <w:rsid w:val="00ED1867"/>
    <w:rsid w:val="00ED4E26"/>
    <w:rsid w:val="00EE0551"/>
    <w:rsid w:val="00EE0DD8"/>
    <w:rsid w:val="00EE1C07"/>
    <w:rsid w:val="00EE36A8"/>
    <w:rsid w:val="00EE3855"/>
    <w:rsid w:val="00EE4418"/>
    <w:rsid w:val="00EE5F15"/>
    <w:rsid w:val="00EE78EF"/>
    <w:rsid w:val="00EE7C39"/>
    <w:rsid w:val="00EF0343"/>
    <w:rsid w:val="00EF04B2"/>
    <w:rsid w:val="00EF2C3E"/>
    <w:rsid w:val="00EF2DD3"/>
    <w:rsid w:val="00F01BC0"/>
    <w:rsid w:val="00F028B2"/>
    <w:rsid w:val="00F038E4"/>
    <w:rsid w:val="00F04B6D"/>
    <w:rsid w:val="00F05217"/>
    <w:rsid w:val="00F063FD"/>
    <w:rsid w:val="00F10EA8"/>
    <w:rsid w:val="00F137B8"/>
    <w:rsid w:val="00F25D28"/>
    <w:rsid w:val="00F315C5"/>
    <w:rsid w:val="00F42535"/>
    <w:rsid w:val="00F43A39"/>
    <w:rsid w:val="00F45D2E"/>
    <w:rsid w:val="00F47DC6"/>
    <w:rsid w:val="00F52991"/>
    <w:rsid w:val="00F54D66"/>
    <w:rsid w:val="00F60989"/>
    <w:rsid w:val="00F60BE4"/>
    <w:rsid w:val="00F62A67"/>
    <w:rsid w:val="00F63B11"/>
    <w:rsid w:val="00F64BC4"/>
    <w:rsid w:val="00F6642F"/>
    <w:rsid w:val="00F66F70"/>
    <w:rsid w:val="00F679AB"/>
    <w:rsid w:val="00F701B9"/>
    <w:rsid w:val="00F71527"/>
    <w:rsid w:val="00F7389F"/>
    <w:rsid w:val="00F746F3"/>
    <w:rsid w:val="00F75901"/>
    <w:rsid w:val="00F77112"/>
    <w:rsid w:val="00F815E0"/>
    <w:rsid w:val="00F83FCE"/>
    <w:rsid w:val="00F844EC"/>
    <w:rsid w:val="00F85B22"/>
    <w:rsid w:val="00F86826"/>
    <w:rsid w:val="00F90117"/>
    <w:rsid w:val="00F94673"/>
    <w:rsid w:val="00F955AF"/>
    <w:rsid w:val="00F9693A"/>
    <w:rsid w:val="00FA1235"/>
    <w:rsid w:val="00FA1F1D"/>
    <w:rsid w:val="00FA4821"/>
    <w:rsid w:val="00FA4CFA"/>
    <w:rsid w:val="00FA7620"/>
    <w:rsid w:val="00FB3A45"/>
    <w:rsid w:val="00FB517B"/>
    <w:rsid w:val="00FB7F7E"/>
    <w:rsid w:val="00FC3E31"/>
    <w:rsid w:val="00FC75A0"/>
    <w:rsid w:val="00FC7E78"/>
    <w:rsid w:val="00FE0868"/>
    <w:rsid w:val="00FE1DB9"/>
    <w:rsid w:val="00FE5C4B"/>
    <w:rsid w:val="00FE63A2"/>
    <w:rsid w:val="00FE6735"/>
    <w:rsid w:val="00FE6C9B"/>
    <w:rsid w:val="00FE7C2A"/>
    <w:rsid w:val="00FF05BD"/>
    <w:rsid w:val="00FF11EF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07ADA358-AA28-4B5F-98BB-35CA1BA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Pr>
      <w:rFonts w:ascii="Arial" w:hAnsi="Arial"/>
      <w:b/>
      <w:sz w:val="18"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E82C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82C3F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C9039B"/>
  </w:style>
  <w:style w:type="character" w:customStyle="1" w:styleId="FooterChar">
    <w:name w:val="Footer Char"/>
    <w:link w:val="Footer"/>
    <w:rsid w:val="00425663"/>
    <w:rPr>
      <w:rFonts w:ascii="Arial" w:hAnsi="Arial"/>
      <w:sz w:val="22"/>
    </w:rPr>
  </w:style>
  <w:style w:type="table" w:styleId="TableGrid">
    <w:name w:val="Table Grid"/>
    <w:basedOn w:val="TableNormal"/>
    <w:rsid w:val="0053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E35A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E35A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3296-A3C2-4B91-A204-82B52654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6FFFAAD1.dotm</Template>
  <TotalTime>108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Control Devices - Cones</vt:lpstr>
    </vt:vector>
  </TitlesOfParts>
  <Company>IDOT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Control Devices - Cones</dc:title>
  <dc:subject>E 01/01/19</dc:subject>
  <dc:creator>BDE</dc:creator>
  <cp:keywords/>
  <dc:description/>
  <cp:lastModifiedBy>brandmd</cp:lastModifiedBy>
  <cp:revision>12</cp:revision>
  <cp:lastPrinted>2018-09-24T15:18:00Z</cp:lastPrinted>
  <dcterms:created xsi:type="dcterms:W3CDTF">2018-04-16T18:18:00Z</dcterms:created>
  <dcterms:modified xsi:type="dcterms:W3CDTF">2018-09-24T15:18:00Z</dcterms:modified>
</cp:coreProperties>
</file>