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bookmarkStart w:id="0" w:name="_GoBack"/>
      <w:bookmarkEnd w:id="0"/>
    </w:p>
    <w:p w:rsidR="002839F7" w:rsidRDefault="002839F7" w:rsidP="00C72126">
      <w:pPr>
        <w:tabs>
          <w:tab w:val="left" w:pos="1152"/>
        </w:tabs>
        <w:spacing w:before="120" w:line="324" w:lineRule="auto"/>
      </w:pPr>
      <w:r>
        <w:tab/>
      </w:r>
      <w:r w:rsidR="00C72126">
        <w:t>Jack A. Elston</w:t>
      </w:r>
    </w:p>
    <w:p w:rsidR="002839F7" w:rsidRDefault="002839F7" w:rsidP="00B46021">
      <w:pPr>
        <w:tabs>
          <w:tab w:val="left" w:pos="1152"/>
        </w:tabs>
        <w:spacing w:before="120"/>
        <w:ind w:left="1166" w:hanging="1166"/>
      </w:pPr>
      <w:r>
        <w:tab/>
        <w:t>Special Provision for</w:t>
      </w:r>
      <w:r w:rsidR="00C72126">
        <w:t xml:space="preserve"> Coarse Aggregate Quality</w:t>
      </w:r>
      <w:r w:rsidR="00B46021">
        <w:t xml:space="preserve"> for Micro-Surfacing and Cape Seals</w:t>
      </w:r>
    </w:p>
    <w:p w:rsidR="002839F7" w:rsidRDefault="002839F7" w:rsidP="002839F7">
      <w:pPr>
        <w:tabs>
          <w:tab w:val="left" w:pos="1152"/>
        </w:tabs>
        <w:spacing w:before="120" w:line="324" w:lineRule="auto"/>
      </w:pPr>
      <w:r>
        <w:tab/>
      </w:r>
      <w:r w:rsidR="006E3AFB">
        <w:t xml:space="preserve">September </w:t>
      </w:r>
      <w:r w:rsidR="00C72126">
        <w:t>28</w:t>
      </w:r>
      <w:r w:rsidR="006E3AFB">
        <w:t>, 2018</w:t>
      </w:r>
    </w:p>
    <w:p w:rsidR="002839F7" w:rsidRDefault="002839F7" w:rsidP="002839F7">
      <w:pPr>
        <w:jc w:val="both"/>
      </w:pPr>
    </w:p>
    <w:p w:rsidR="002839F7" w:rsidRDefault="002839F7" w:rsidP="002839F7">
      <w:pPr>
        <w:jc w:val="both"/>
      </w:pPr>
    </w:p>
    <w:p w:rsidR="002839F7" w:rsidRDefault="002839F7" w:rsidP="002839F7">
      <w:pPr>
        <w:jc w:val="both"/>
      </w:pPr>
    </w:p>
    <w:p w:rsidR="00D832AF" w:rsidRDefault="00254AE7" w:rsidP="00472240">
      <w:r>
        <w:t xml:space="preserve">This special provision was developed </w:t>
      </w:r>
      <w:r w:rsidR="00AF5B9E">
        <w:t xml:space="preserve">to clarify the quality </w:t>
      </w:r>
      <w:r w:rsidR="00C72126">
        <w:t>standards</w:t>
      </w:r>
      <w:r w:rsidR="00AF5B9E">
        <w:t xml:space="preserve"> for </w:t>
      </w:r>
      <w:r w:rsidR="00C72126">
        <w:t xml:space="preserve">the coarse </w:t>
      </w:r>
      <w:r w:rsidR="00AF5B9E">
        <w:t>aggregates used in micro-surfacing.  The gradations do not currently support the Los Angeles Abrasion, ITP 96 or the count of soft and unsound fragments in the deleterious materials count.</w:t>
      </w:r>
    </w:p>
    <w:p w:rsidR="00D832AF" w:rsidRDefault="00D832AF" w:rsidP="00472240"/>
    <w:p w:rsidR="00F85B22" w:rsidRDefault="00C72126" w:rsidP="0055134E">
      <w:r>
        <w:t>This special provision</w:t>
      </w:r>
      <w:r w:rsidR="0022141B">
        <w:t xml:space="preserve"> should be inc</w:t>
      </w:r>
      <w:r w:rsidR="00057AC8">
        <w:t xml:space="preserve">luded in all projects involving </w:t>
      </w:r>
      <w:r w:rsidR="00F223E9">
        <w:t xml:space="preserve">the application of </w:t>
      </w:r>
      <w:r w:rsidR="00AF5B9E">
        <w:t>micro-surfacing and cape seals</w:t>
      </w:r>
      <w:r w:rsidR="00B46021">
        <w:t xml:space="preserve"> (which include micro-surfacing as part of the treatment)</w:t>
      </w:r>
      <w:r>
        <w:t>.</w:t>
      </w:r>
    </w:p>
    <w:p w:rsidR="0055134E" w:rsidRDefault="0055134E" w:rsidP="0055134E"/>
    <w:p w:rsidR="002839F7" w:rsidRDefault="002839F7" w:rsidP="002839F7">
      <w:pPr>
        <w:jc w:val="both"/>
      </w:pPr>
      <w:r>
        <w:t xml:space="preserve">The districts should include the BDE Check Sheet marked with the applicable special provisions for the </w:t>
      </w:r>
      <w:r w:rsidR="00C72126">
        <w:t>January 18, 2019</w:t>
      </w:r>
      <w:r>
        <w:t xml:space="preserve"> and subsequent lettings.  The Project Development and Implementation Section will include </w:t>
      </w:r>
      <w:r w:rsidR="00436B80">
        <w:t>a</w:t>
      </w:r>
      <w:r>
        <w:t xml:space="preserve"> copy in the contract.</w:t>
      </w:r>
    </w:p>
    <w:p w:rsidR="002839F7" w:rsidRDefault="002839F7" w:rsidP="002839F7">
      <w:pPr>
        <w:jc w:val="both"/>
      </w:pPr>
    </w:p>
    <w:p w:rsidR="002839F7" w:rsidRDefault="002839F7" w:rsidP="002839F7">
      <w:pPr>
        <w:jc w:val="both"/>
      </w:pPr>
      <w:r>
        <w:t xml:space="preserve">This special provision will be available on the transfer directory </w:t>
      </w:r>
      <w:r w:rsidR="00436B80">
        <w:br/>
      </w:r>
      <w:r w:rsidR="00C72126">
        <w:t>September 28</w:t>
      </w:r>
      <w:r w:rsidR="00F223E9">
        <w:t>, 2018</w:t>
      </w:r>
      <w:r>
        <w:t>.</w:t>
      </w:r>
    </w:p>
    <w:p w:rsidR="002839F7" w:rsidRDefault="002839F7" w:rsidP="002839F7">
      <w:pPr>
        <w:jc w:val="both"/>
      </w:pPr>
    </w:p>
    <w:p w:rsidR="002839F7" w:rsidRDefault="002839F7" w:rsidP="002839F7">
      <w:pPr>
        <w:jc w:val="both"/>
      </w:pPr>
    </w:p>
    <w:p w:rsidR="002839F7" w:rsidRDefault="00C72126" w:rsidP="002839F7">
      <w:pPr>
        <w:jc w:val="both"/>
      </w:pPr>
      <w:r>
        <w:t>804</w:t>
      </w:r>
      <w:r w:rsidR="00D5786E">
        <w:t>04</w:t>
      </w:r>
      <w:r>
        <w:t>m</w:t>
      </w:r>
    </w:p>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1F58A2">
      <w:pPr>
        <w:pStyle w:val="Heading1"/>
      </w:pPr>
      <w:bookmarkStart w:id="1" w:name="_Hlk522795082"/>
      <w:r>
        <w:lastRenderedPageBreak/>
        <w:t xml:space="preserve">Coarse </w:t>
      </w:r>
      <w:r w:rsidR="00AF5B9E">
        <w:t>aggregate Quality</w:t>
      </w:r>
      <w:r w:rsidR="00B46021">
        <w:t xml:space="preserve"> FOR MICRO-SURFACING AND CAPE SEALS</w:t>
      </w:r>
      <w:r w:rsidR="00AF5B9E">
        <w:t xml:space="preserve"> </w:t>
      </w:r>
      <w:bookmarkEnd w:id="1"/>
      <w:r w:rsidR="00DE2A53">
        <w:t>(bde)</w:t>
      </w:r>
    </w:p>
    <w:p w:rsidR="00B81C7F" w:rsidRDefault="00B81C7F">
      <w:pPr>
        <w:jc w:val="both"/>
      </w:pPr>
    </w:p>
    <w:p w:rsidR="00C561A4" w:rsidRDefault="00B81C7F">
      <w:pPr>
        <w:jc w:val="both"/>
      </w:pPr>
      <w:r>
        <w:t xml:space="preserve">Effective: </w:t>
      </w:r>
      <w:r w:rsidR="00A4605E">
        <w:t xml:space="preserve"> January 1, 2019</w:t>
      </w:r>
    </w:p>
    <w:p w:rsidR="00B81C7F" w:rsidRDefault="00B81C7F">
      <w:pPr>
        <w:jc w:val="both"/>
      </w:pPr>
    </w:p>
    <w:p w:rsidR="00057AC8" w:rsidRDefault="00F223E9">
      <w:pPr>
        <w:jc w:val="both"/>
      </w:pPr>
      <w:bookmarkStart w:id="2" w:name="_Hlk522794924"/>
      <w:r>
        <w:t xml:space="preserve">Revise </w:t>
      </w:r>
      <w:r w:rsidR="00A4605E">
        <w:t xml:space="preserve">the Class B quality standards in the coarse aggregate quality table and its associated footnotes of </w:t>
      </w:r>
      <w:r>
        <w:t>Article 10</w:t>
      </w:r>
      <w:r w:rsidR="00AF5B9E">
        <w:t>04</w:t>
      </w:r>
      <w:r>
        <w:t>.</w:t>
      </w:r>
      <w:r w:rsidR="00AF5B9E">
        <w:t>01(b)</w:t>
      </w:r>
      <w:r w:rsidR="00A9219A">
        <w:t xml:space="preserve"> of the </w:t>
      </w:r>
      <w:r w:rsidR="00A4605E">
        <w:t xml:space="preserve">Supplemental </w:t>
      </w:r>
      <w:r w:rsidR="00A9219A">
        <w:t>Specifications to read</w:t>
      </w:r>
      <w:r>
        <w:t>:</w:t>
      </w:r>
      <w:bookmarkEnd w:id="2"/>
    </w:p>
    <w:p w:rsidR="00AF5B9E" w:rsidRPr="006531BD" w:rsidRDefault="00AF5B9E" w:rsidP="00AF5B9E">
      <w:pPr>
        <w:ind w:left="720"/>
        <w:rPr>
          <w:rFonts w:cs="Arial"/>
          <w:snapToGrid w:val="0"/>
        </w:rPr>
      </w:pPr>
    </w:p>
    <w:tbl>
      <w:tblPr>
        <w:tblW w:w="5130" w:type="dxa"/>
        <w:tblInd w:w="725" w:type="dxa"/>
        <w:tblLayout w:type="fixed"/>
        <w:tblCellMar>
          <w:left w:w="0" w:type="dxa"/>
          <w:right w:w="0" w:type="dxa"/>
        </w:tblCellMar>
        <w:tblLook w:val="0000" w:firstRow="0" w:lastRow="0" w:firstColumn="0" w:lastColumn="0" w:noHBand="0" w:noVBand="0"/>
      </w:tblPr>
      <w:tblGrid>
        <w:gridCol w:w="4050"/>
        <w:gridCol w:w="1080"/>
      </w:tblGrid>
      <w:tr w:rsidR="00A4605E" w:rsidRPr="006531BD" w:rsidTr="003727F5">
        <w:trPr>
          <w:cantSplit/>
          <w:trHeight w:val="143"/>
        </w:trPr>
        <w:tc>
          <w:tcPr>
            <w:tcW w:w="5130" w:type="dxa"/>
            <w:gridSpan w:val="2"/>
            <w:tcBorders>
              <w:top w:val="single" w:sz="4" w:space="0" w:color="auto"/>
              <w:left w:val="single" w:sz="4" w:space="0" w:color="auto"/>
              <w:right w:val="single" w:sz="4" w:space="0" w:color="auto"/>
            </w:tcBorders>
          </w:tcPr>
          <w:p w:rsidR="00A4605E" w:rsidRPr="006531BD" w:rsidRDefault="00C72126" w:rsidP="00DB6BFE">
            <w:pPr>
              <w:spacing w:before="60" w:after="60"/>
              <w:jc w:val="center"/>
              <w:rPr>
                <w:rFonts w:cs="Arial"/>
                <w:snapToGrid w:val="0"/>
              </w:rPr>
            </w:pPr>
            <w:r>
              <w:rPr>
                <w:rFonts w:cs="Arial"/>
                <w:snapToGrid w:val="0"/>
              </w:rPr>
              <w:t>“</w:t>
            </w:r>
            <w:r w:rsidR="00A4605E" w:rsidRPr="006531BD">
              <w:rPr>
                <w:rFonts w:cs="Arial"/>
                <w:snapToGrid w:val="0"/>
              </w:rPr>
              <w:t>COARSE AGGREGATE QUALITY</w:t>
            </w:r>
          </w:p>
        </w:tc>
      </w:tr>
      <w:tr w:rsidR="00A4605E" w:rsidRPr="006531BD" w:rsidTr="00A4605E">
        <w:trPr>
          <w:cantSplit/>
        </w:trPr>
        <w:tc>
          <w:tcPr>
            <w:tcW w:w="4050" w:type="dxa"/>
            <w:vMerge w:val="restart"/>
            <w:tcBorders>
              <w:top w:val="single" w:sz="4" w:space="0" w:color="auto"/>
              <w:left w:val="single" w:sz="4" w:space="0" w:color="auto"/>
              <w:right w:val="single" w:sz="4" w:space="0" w:color="auto"/>
            </w:tcBorders>
          </w:tcPr>
          <w:p w:rsidR="00A4605E" w:rsidRPr="006531BD" w:rsidRDefault="00A4605E" w:rsidP="00DB6BFE">
            <w:pPr>
              <w:spacing w:before="100"/>
              <w:jc w:val="center"/>
              <w:rPr>
                <w:rFonts w:cs="Arial"/>
                <w:snapToGrid w:val="0"/>
              </w:rPr>
            </w:pPr>
            <w:r w:rsidRPr="006531BD">
              <w:rPr>
                <w:rFonts w:cs="Arial"/>
                <w:snapToGrid w:val="0"/>
              </w:rPr>
              <w:t>QUALITY TEST</w:t>
            </w:r>
          </w:p>
        </w:tc>
        <w:tc>
          <w:tcPr>
            <w:tcW w:w="1080" w:type="dxa"/>
            <w:tcBorders>
              <w:top w:val="single" w:sz="4" w:space="0" w:color="auto"/>
              <w:bottom w:val="single" w:sz="4" w:space="0" w:color="auto"/>
              <w:right w:val="single" w:sz="4" w:space="0" w:color="auto"/>
            </w:tcBorders>
          </w:tcPr>
          <w:p w:rsidR="00A4605E" w:rsidRPr="006531BD" w:rsidRDefault="00A4605E" w:rsidP="00DB6BFE">
            <w:pPr>
              <w:jc w:val="center"/>
              <w:rPr>
                <w:rFonts w:cs="Arial"/>
                <w:snapToGrid w:val="0"/>
              </w:rPr>
            </w:pPr>
            <w:r>
              <w:rPr>
                <w:rFonts w:cs="Arial"/>
                <w:snapToGrid w:val="0"/>
              </w:rPr>
              <w:t>CLASS</w:t>
            </w:r>
          </w:p>
        </w:tc>
      </w:tr>
      <w:tr w:rsidR="00A4605E" w:rsidRPr="006531BD" w:rsidTr="00A4605E">
        <w:trPr>
          <w:cantSplit/>
        </w:trPr>
        <w:tc>
          <w:tcPr>
            <w:tcW w:w="4050" w:type="dxa"/>
            <w:vMerge/>
            <w:tcBorders>
              <w:left w:val="single" w:sz="4" w:space="0" w:color="auto"/>
              <w:bottom w:val="single" w:sz="4" w:space="0" w:color="auto"/>
              <w:right w:val="single" w:sz="4" w:space="0" w:color="auto"/>
            </w:tcBorders>
          </w:tcPr>
          <w:p w:rsidR="00A4605E" w:rsidRPr="006531BD" w:rsidRDefault="00A4605E" w:rsidP="00DB6BFE">
            <w:pPr>
              <w:jc w:val="center"/>
              <w:rPr>
                <w:rFonts w:cs="Arial"/>
                <w:snapToGrid w:val="0"/>
              </w:rPr>
            </w:pPr>
          </w:p>
        </w:tc>
        <w:tc>
          <w:tcPr>
            <w:tcW w:w="1080" w:type="dxa"/>
            <w:tcBorders>
              <w:top w:val="single" w:sz="4" w:space="0" w:color="auto"/>
              <w:bottom w:val="single" w:sz="4" w:space="0" w:color="auto"/>
              <w:right w:val="single" w:sz="4" w:space="0" w:color="auto"/>
            </w:tcBorders>
          </w:tcPr>
          <w:p w:rsidR="00A4605E" w:rsidRPr="006531BD" w:rsidRDefault="00A4605E" w:rsidP="00DB6BFE">
            <w:pPr>
              <w:jc w:val="center"/>
              <w:rPr>
                <w:rFonts w:cs="Arial"/>
                <w:snapToGrid w:val="0"/>
              </w:rPr>
            </w:pPr>
            <w:r w:rsidRPr="006531BD">
              <w:rPr>
                <w:rFonts w:cs="Arial"/>
                <w:snapToGrid w:val="0"/>
              </w:rPr>
              <w:t>B</w:t>
            </w:r>
          </w:p>
        </w:tc>
      </w:tr>
      <w:tr w:rsidR="00A4605E" w:rsidRPr="006531BD" w:rsidTr="004B7C5A">
        <w:trPr>
          <w:cantSplit/>
          <w:trHeight w:val="430"/>
        </w:trPr>
        <w:tc>
          <w:tcPr>
            <w:tcW w:w="4050" w:type="dxa"/>
            <w:tcBorders>
              <w:top w:val="single" w:sz="4" w:space="0" w:color="auto"/>
              <w:left w:val="single" w:sz="4" w:space="0" w:color="auto"/>
              <w:bottom w:val="single" w:sz="4" w:space="0" w:color="auto"/>
              <w:right w:val="single" w:sz="4" w:space="0" w:color="auto"/>
            </w:tcBorders>
          </w:tcPr>
          <w:p w:rsidR="00A4605E" w:rsidRPr="006531BD" w:rsidRDefault="00A4605E" w:rsidP="00DB6BFE">
            <w:pPr>
              <w:ind w:left="72"/>
              <w:rPr>
                <w:rFonts w:cs="Arial"/>
                <w:snapToGrid w:val="0"/>
              </w:rPr>
            </w:pPr>
            <w:r w:rsidRPr="006531BD">
              <w:rPr>
                <w:rFonts w:cs="Arial"/>
                <w:snapToGrid w:val="0"/>
              </w:rPr>
              <w:t>Na</w:t>
            </w:r>
            <w:r w:rsidRPr="006531BD">
              <w:rPr>
                <w:rFonts w:cs="Arial"/>
                <w:snapToGrid w:val="0"/>
                <w:vertAlign w:val="subscript"/>
              </w:rPr>
              <w:t>2</w:t>
            </w:r>
            <w:r w:rsidRPr="006531BD">
              <w:rPr>
                <w:rFonts w:cs="Arial"/>
                <w:snapToGrid w:val="0"/>
              </w:rPr>
              <w:t>SO</w:t>
            </w:r>
            <w:r w:rsidRPr="006531BD">
              <w:rPr>
                <w:rFonts w:cs="Arial"/>
                <w:snapToGrid w:val="0"/>
                <w:vertAlign w:val="subscript"/>
              </w:rPr>
              <w:t>4</w:t>
            </w:r>
            <w:r w:rsidRPr="006531BD">
              <w:rPr>
                <w:rFonts w:cs="Arial"/>
                <w:snapToGrid w:val="0"/>
              </w:rPr>
              <w:t xml:space="preserve"> Soundness 5 Cycle, </w:t>
            </w:r>
          </w:p>
          <w:p w:rsidR="00A4605E" w:rsidRPr="006531BD" w:rsidRDefault="00A4605E" w:rsidP="00DB6BFE">
            <w:pPr>
              <w:ind w:left="72"/>
              <w:rPr>
                <w:rFonts w:cs="Arial"/>
                <w:snapToGrid w:val="0"/>
              </w:rPr>
            </w:pPr>
            <w:r w:rsidRPr="006531BD">
              <w:rPr>
                <w:rFonts w:cs="Arial"/>
                <w:snapToGrid w:val="0"/>
              </w:rPr>
              <w:t xml:space="preserve">ITP 104 </w:t>
            </w:r>
            <w:r w:rsidRPr="006531BD">
              <w:rPr>
                <w:rFonts w:cs="Arial"/>
                <w:snapToGrid w:val="0"/>
                <w:vertAlign w:val="superscript"/>
              </w:rPr>
              <w:t>1/</w:t>
            </w:r>
            <w:r w:rsidRPr="006531BD">
              <w:rPr>
                <w:rFonts w:cs="Arial"/>
                <w:snapToGrid w:val="0"/>
              </w:rPr>
              <w:t>, % Loss max.</w:t>
            </w:r>
          </w:p>
        </w:tc>
        <w:tc>
          <w:tcPr>
            <w:tcW w:w="1080" w:type="dxa"/>
            <w:tcBorders>
              <w:top w:val="single" w:sz="4" w:space="0" w:color="auto"/>
              <w:bottom w:val="single" w:sz="4" w:space="0" w:color="auto"/>
              <w:right w:val="single" w:sz="4" w:space="0" w:color="auto"/>
            </w:tcBorders>
          </w:tcPr>
          <w:p w:rsidR="00A4605E" w:rsidRPr="006531BD" w:rsidRDefault="00A4605E" w:rsidP="00DB6BFE">
            <w:pPr>
              <w:spacing w:before="100"/>
              <w:jc w:val="center"/>
              <w:rPr>
                <w:rFonts w:cs="Arial"/>
                <w:snapToGrid w:val="0"/>
              </w:rPr>
            </w:pPr>
            <w:r w:rsidRPr="006531BD">
              <w:rPr>
                <w:rFonts w:cs="Arial"/>
                <w:snapToGrid w:val="0"/>
              </w:rPr>
              <w:t>15</w:t>
            </w:r>
          </w:p>
        </w:tc>
      </w:tr>
      <w:tr w:rsidR="00A4605E" w:rsidRPr="006531BD" w:rsidTr="004B7C5A">
        <w:trPr>
          <w:trHeight w:val="324"/>
        </w:trPr>
        <w:tc>
          <w:tcPr>
            <w:tcW w:w="4050" w:type="dxa"/>
            <w:tcBorders>
              <w:top w:val="single" w:sz="4" w:space="0" w:color="auto"/>
              <w:left w:val="single" w:sz="4" w:space="0" w:color="auto"/>
              <w:bottom w:val="single" w:sz="4" w:space="0" w:color="auto"/>
              <w:right w:val="single" w:sz="4" w:space="0" w:color="auto"/>
            </w:tcBorders>
          </w:tcPr>
          <w:p w:rsidR="00A4605E" w:rsidRPr="006531BD" w:rsidRDefault="00A4605E" w:rsidP="00DB6BFE">
            <w:pPr>
              <w:ind w:left="72"/>
              <w:rPr>
                <w:rFonts w:cs="Arial"/>
                <w:snapToGrid w:val="0"/>
              </w:rPr>
            </w:pPr>
            <w:r w:rsidRPr="006531BD">
              <w:rPr>
                <w:rFonts w:cs="Arial"/>
                <w:snapToGrid w:val="0"/>
              </w:rPr>
              <w:t>Los Angeles Abrasion,</w:t>
            </w:r>
          </w:p>
          <w:p w:rsidR="00A4605E" w:rsidRPr="006531BD" w:rsidRDefault="00A4605E" w:rsidP="00DB6BFE">
            <w:pPr>
              <w:ind w:left="72"/>
              <w:rPr>
                <w:rFonts w:cs="Arial"/>
                <w:snapToGrid w:val="0"/>
              </w:rPr>
            </w:pPr>
            <w:r w:rsidRPr="006531BD">
              <w:rPr>
                <w:rFonts w:cs="Arial"/>
                <w:snapToGrid w:val="0"/>
              </w:rPr>
              <w:t xml:space="preserve">ITP 96 </w:t>
            </w:r>
            <w:r w:rsidRPr="006531BD">
              <w:rPr>
                <w:rFonts w:cs="Arial"/>
                <w:snapToGrid w:val="0"/>
                <w:vertAlign w:val="superscript"/>
              </w:rPr>
              <w:t>11/</w:t>
            </w:r>
            <w:r w:rsidRPr="006531BD">
              <w:rPr>
                <w:rFonts w:cs="Arial"/>
                <w:snapToGrid w:val="0"/>
              </w:rPr>
              <w:t>,</w:t>
            </w:r>
            <w:r w:rsidRPr="006531BD">
              <w:rPr>
                <w:rFonts w:cs="Arial"/>
                <w:snapToGrid w:val="0"/>
                <w:vertAlign w:val="superscript"/>
              </w:rPr>
              <w:t xml:space="preserve"> </w:t>
            </w:r>
            <w:r w:rsidRPr="006531BD">
              <w:rPr>
                <w:rFonts w:cs="Arial"/>
                <w:snapToGrid w:val="0"/>
              </w:rPr>
              <w:t>% Loss max.</w:t>
            </w:r>
          </w:p>
        </w:tc>
        <w:tc>
          <w:tcPr>
            <w:tcW w:w="1080" w:type="dxa"/>
            <w:tcBorders>
              <w:top w:val="single" w:sz="4" w:space="0" w:color="auto"/>
              <w:bottom w:val="single" w:sz="4" w:space="0" w:color="auto"/>
              <w:right w:val="single" w:sz="4" w:space="0" w:color="auto"/>
            </w:tcBorders>
          </w:tcPr>
          <w:p w:rsidR="00A4605E" w:rsidRPr="006531BD" w:rsidRDefault="00A4605E" w:rsidP="00A4605E">
            <w:pPr>
              <w:spacing w:before="100"/>
              <w:ind w:left="174"/>
              <w:jc w:val="center"/>
              <w:rPr>
                <w:rFonts w:cs="Arial"/>
                <w:snapToGrid w:val="0"/>
              </w:rPr>
            </w:pPr>
            <w:r w:rsidRPr="006531BD">
              <w:rPr>
                <w:rFonts w:cs="Arial"/>
                <w:snapToGrid w:val="0"/>
              </w:rPr>
              <w:t xml:space="preserve">40 </w:t>
            </w:r>
            <w:r w:rsidRPr="006531BD">
              <w:rPr>
                <w:rFonts w:cs="Arial"/>
                <w:snapToGrid w:val="0"/>
                <w:vertAlign w:val="superscript"/>
              </w:rPr>
              <w:t>4/</w:t>
            </w:r>
          </w:p>
        </w:tc>
      </w:tr>
      <w:tr w:rsidR="00A4605E" w:rsidRPr="006531BD" w:rsidTr="004B7C5A">
        <w:trPr>
          <w:trHeight w:val="261"/>
        </w:trPr>
        <w:tc>
          <w:tcPr>
            <w:tcW w:w="4050" w:type="dxa"/>
            <w:tcBorders>
              <w:top w:val="single" w:sz="4" w:space="0" w:color="auto"/>
              <w:left w:val="single" w:sz="4" w:space="0" w:color="auto"/>
              <w:bottom w:val="single" w:sz="4" w:space="0" w:color="auto"/>
              <w:right w:val="single" w:sz="4" w:space="0" w:color="auto"/>
            </w:tcBorders>
          </w:tcPr>
          <w:p w:rsidR="00A4605E" w:rsidRPr="006531BD" w:rsidRDefault="00A4605E" w:rsidP="00DB6BFE">
            <w:pPr>
              <w:ind w:left="72"/>
              <w:rPr>
                <w:rFonts w:cs="Arial"/>
                <w:snapToGrid w:val="0"/>
              </w:rPr>
            </w:pPr>
            <w:r w:rsidRPr="006531BD">
              <w:rPr>
                <w:rFonts w:cs="Arial"/>
                <w:snapToGrid w:val="0"/>
              </w:rPr>
              <w:t>Minus No. 200 (75 µm) Sieve Material,</w:t>
            </w:r>
          </w:p>
          <w:p w:rsidR="00A4605E" w:rsidRPr="006531BD" w:rsidRDefault="00A4605E" w:rsidP="00DB6BFE">
            <w:pPr>
              <w:ind w:left="72"/>
              <w:rPr>
                <w:rFonts w:cs="Arial"/>
                <w:snapToGrid w:val="0"/>
              </w:rPr>
            </w:pPr>
            <w:r w:rsidRPr="006531BD">
              <w:rPr>
                <w:rFonts w:cs="Arial"/>
                <w:snapToGrid w:val="0"/>
              </w:rPr>
              <w:t>ITP 11</w:t>
            </w:r>
          </w:p>
        </w:tc>
        <w:tc>
          <w:tcPr>
            <w:tcW w:w="1080" w:type="dxa"/>
            <w:tcBorders>
              <w:top w:val="single" w:sz="4" w:space="0" w:color="auto"/>
              <w:bottom w:val="single" w:sz="4" w:space="0" w:color="auto"/>
              <w:right w:val="single" w:sz="4" w:space="0" w:color="auto"/>
            </w:tcBorders>
          </w:tcPr>
          <w:p w:rsidR="00A4605E" w:rsidRPr="006531BD" w:rsidRDefault="00A4605E" w:rsidP="00DB6BFE">
            <w:pPr>
              <w:spacing w:before="100"/>
              <w:jc w:val="center"/>
              <w:rPr>
                <w:rFonts w:cs="Arial"/>
                <w:snapToGrid w:val="0"/>
              </w:rPr>
            </w:pPr>
            <w:r w:rsidRPr="006531BD">
              <w:rPr>
                <w:rFonts w:cs="Arial"/>
                <w:snapToGrid w:val="0"/>
              </w:rPr>
              <w:t>---</w:t>
            </w:r>
          </w:p>
        </w:tc>
      </w:tr>
      <w:tr w:rsidR="00A4605E" w:rsidRPr="006531BD" w:rsidTr="004B7C5A">
        <w:tc>
          <w:tcPr>
            <w:tcW w:w="4050" w:type="dxa"/>
            <w:tcBorders>
              <w:top w:val="single" w:sz="4" w:space="0" w:color="auto"/>
              <w:left w:val="single" w:sz="4" w:space="0" w:color="auto"/>
              <w:right w:val="single" w:sz="4" w:space="0" w:color="auto"/>
            </w:tcBorders>
          </w:tcPr>
          <w:p w:rsidR="00A4605E" w:rsidRPr="006531BD" w:rsidRDefault="00A4605E" w:rsidP="00DB6BFE">
            <w:pPr>
              <w:spacing w:before="20"/>
              <w:ind w:left="72"/>
              <w:rPr>
                <w:rFonts w:cs="Arial"/>
                <w:snapToGrid w:val="0"/>
                <w:vertAlign w:val="superscript"/>
              </w:rPr>
            </w:pPr>
            <w:r w:rsidRPr="006531BD">
              <w:rPr>
                <w:rFonts w:cs="Arial"/>
                <w:snapToGrid w:val="0"/>
              </w:rPr>
              <w:t>Deleterious Materials</w:t>
            </w:r>
            <w:r w:rsidRPr="006531BD">
              <w:rPr>
                <w:rFonts w:cs="Arial"/>
                <w:snapToGrid w:val="0"/>
                <w:vertAlign w:val="superscript"/>
              </w:rPr>
              <w:t xml:space="preserve"> 10/</w:t>
            </w:r>
          </w:p>
        </w:tc>
        <w:tc>
          <w:tcPr>
            <w:tcW w:w="1080" w:type="dxa"/>
            <w:tcBorders>
              <w:top w:val="single" w:sz="4" w:space="0" w:color="auto"/>
              <w:right w:val="single" w:sz="4" w:space="0" w:color="auto"/>
            </w:tcBorders>
          </w:tcPr>
          <w:p w:rsidR="00A4605E" w:rsidRPr="006531BD" w:rsidRDefault="00A4605E" w:rsidP="00DB6BFE">
            <w:pPr>
              <w:spacing w:before="20"/>
              <w:jc w:val="center"/>
              <w:rPr>
                <w:rFonts w:cs="Arial"/>
                <w:snapToGrid w:val="0"/>
              </w:rPr>
            </w:pPr>
          </w:p>
        </w:tc>
      </w:tr>
      <w:tr w:rsidR="00A4605E" w:rsidRPr="006531BD" w:rsidTr="004B7C5A">
        <w:trPr>
          <w:cantSplit/>
        </w:trPr>
        <w:tc>
          <w:tcPr>
            <w:tcW w:w="4050" w:type="dxa"/>
            <w:tcBorders>
              <w:left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Shale, % max.</w:t>
            </w:r>
          </w:p>
        </w:tc>
        <w:tc>
          <w:tcPr>
            <w:tcW w:w="1080" w:type="dxa"/>
            <w:tcBorders>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2.0</w:t>
            </w:r>
          </w:p>
        </w:tc>
      </w:tr>
      <w:tr w:rsidR="00A4605E" w:rsidRPr="006531BD" w:rsidTr="004B7C5A">
        <w:trPr>
          <w:cantSplit/>
        </w:trPr>
        <w:tc>
          <w:tcPr>
            <w:tcW w:w="4050" w:type="dxa"/>
            <w:tcBorders>
              <w:left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Clay Lumps, % max.</w:t>
            </w:r>
          </w:p>
        </w:tc>
        <w:tc>
          <w:tcPr>
            <w:tcW w:w="1080" w:type="dxa"/>
            <w:tcBorders>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0.5</w:t>
            </w:r>
          </w:p>
        </w:tc>
      </w:tr>
      <w:tr w:rsidR="00A4605E" w:rsidRPr="006531BD" w:rsidTr="004B7C5A">
        <w:trPr>
          <w:cantSplit/>
        </w:trPr>
        <w:tc>
          <w:tcPr>
            <w:tcW w:w="4050" w:type="dxa"/>
            <w:tcBorders>
              <w:left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Coal &amp; Lignite, % max.</w:t>
            </w:r>
          </w:p>
        </w:tc>
        <w:tc>
          <w:tcPr>
            <w:tcW w:w="1080" w:type="dxa"/>
            <w:tcBorders>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w:t>
            </w:r>
          </w:p>
        </w:tc>
      </w:tr>
      <w:tr w:rsidR="00A4605E" w:rsidRPr="006531BD" w:rsidTr="004B7C5A">
        <w:trPr>
          <w:cantSplit/>
        </w:trPr>
        <w:tc>
          <w:tcPr>
            <w:tcW w:w="4050" w:type="dxa"/>
            <w:tcBorders>
              <w:left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Soft &amp; Unsound Fragments, % max.</w:t>
            </w:r>
          </w:p>
        </w:tc>
        <w:tc>
          <w:tcPr>
            <w:tcW w:w="1080" w:type="dxa"/>
            <w:tcBorders>
              <w:right w:val="single" w:sz="4" w:space="0" w:color="auto"/>
            </w:tcBorders>
          </w:tcPr>
          <w:p w:rsidR="00A4605E" w:rsidRPr="004025F0" w:rsidRDefault="00A4605E" w:rsidP="00A4605E">
            <w:pPr>
              <w:spacing w:before="20"/>
              <w:ind w:left="174"/>
              <w:jc w:val="center"/>
              <w:rPr>
                <w:rFonts w:cs="Arial"/>
                <w:snapToGrid w:val="0"/>
                <w:vertAlign w:val="superscript"/>
              </w:rPr>
            </w:pPr>
            <w:r>
              <w:rPr>
                <w:rFonts w:cs="Arial"/>
                <w:snapToGrid w:val="0"/>
              </w:rPr>
              <w:t>6.0</w:t>
            </w:r>
            <w:r>
              <w:rPr>
                <w:rFonts w:cs="Arial"/>
                <w:snapToGrid w:val="0"/>
                <w:vertAlign w:val="superscript"/>
              </w:rPr>
              <w:t>12/</w:t>
            </w:r>
          </w:p>
        </w:tc>
      </w:tr>
      <w:tr w:rsidR="00A4605E" w:rsidRPr="006531BD" w:rsidTr="004B7C5A">
        <w:trPr>
          <w:cantSplit/>
        </w:trPr>
        <w:tc>
          <w:tcPr>
            <w:tcW w:w="4050" w:type="dxa"/>
            <w:tcBorders>
              <w:left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Other Deleterious, % max.</w:t>
            </w:r>
          </w:p>
        </w:tc>
        <w:tc>
          <w:tcPr>
            <w:tcW w:w="1080" w:type="dxa"/>
            <w:tcBorders>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2.0</w:t>
            </w:r>
          </w:p>
        </w:tc>
      </w:tr>
      <w:tr w:rsidR="00A4605E" w:rsidRPr="006531BD" w:rsidTr="004B7C5A">
        <w:trPr>
          <w:cantSplit/>
        </w:trPr>
        <w:tc>
          <w:tcPr>
            <w:tcW w:w="4050" w:type="dxa"/>
            <w:tcBorders>
              <w:left w:val="single" w:sz="4" w:space="0" w:color="auto"/>
              <w:bottom w:val="single" w:sz="4" w:space="0" w:color="auto"/>
              <w:right w:val="single" w:sz="4" w:space="0" w:color="auto"/>
            </w:tcBorders>
          </w:tcPr>
          <w:p w:rsidR="00A4605E" w:rsidRPr="006531BD" w:rsidRDefault="00A4605E" w:rsidP="00DB6BFE">
            <w:pPr>
              <w:spacing w:before="20"/>
              <w:ind w:left="144"/>
              <w:rPr>
                <w:rFonts w:cs="Arial"/>
                <w:snapToGrid w:val="0"/>
              </w:rPr>
            </w:pPr>
            <w:r w:rsidRPr="006531BD">
              <w:rPr>
                <w:rFonts w:cs="Arial"/>
                <w:snapToGrid w:val="0"/>
              </w:rPr>
              <w:t>Total Deleterious, % max.</w:t>
            </w:r>
          </w:p>
        </w:tc>
        <w:tc>
          <w:tcPr>
            <w:tcW w:w="1080" w:type="dxa"/>
            <w:tcBorders>
              <w:bottom w:val="single" w:sz="4" w:space="0" w:color="auto"/>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6.0</w:t>
            </w:r>
          </w:p>
        </w:tc>
      </w:tr>
      <w:tr w:rsidR="00A4605E" w:rsidRPr="006531BD" w:rsidTr="004B7C5A">
        <w:trPr>
          <w:cantSplit/>
        </w:trPr>
        <w:tc>
          <w:tcPr>
            <w:tcW w:w="4050" w:type="dxa"/>
            <w:tcBorders>
              <w:top w:val="single" w:sz="4" w:space="0" w:color="auto"/>
              <w:left w:val="single" w:sz="4" w:space="0" w:color="auto"/>
              <w:bottom w:val="single" w:sz="4" w:space="0" w:color="auto"/>
              <w:right w:val="single" w:sz="4" w:space="0" w:color="auto"/>
            </w:tcBorders>
          </w:tcPr>
          <w:p w:rsidR="00A4605E" w:rsidRPr="006531BD" w:rsidRDefault="00A4605E" w:rsidP="00DB6BFE">
            <w:pPr>
              <w:spacing w:before="20"/>
              <w:ind w:left="90"/>
              <w:rPr>
                <w:rFonts w:cs="Arial"/>
                <w:snapToGrid w:val="0"/>
              </w:rPr>
            </w:pPr>
            <w:r w:rsidRPr="006531BD">
              <w:rPr>
                <w:rFonts w:cs="Arial"/>
                <w:snapToGrid w:val="0"/>
              </w:rPr>
              <w:t xml:space="preserve">Oil-Stained Aggregate </w:t>
            </w:r>
            <w:r w:rsidRPr="006531BD">
              <w:rPr>
                <w:rFonts w:cs="Arial"/>
                <w:snapToGrid w:val="0"/>
                <w:vertAlign w:val="superscript"/>
              </w:rPr>
              <w:t>10/</w:t>
            </w:r>
            <w:r w:rsidRPr="006531BD">
              <w:rPr>
                <w:rFonts w:cs="Arial"/>
                <w:snapToGrid w:val="0"/>
              </w:rPr>
              <w:t>, % max</w:t>
            </w:r>
          </w:p>
        </w:tc>
        <w:tc>
          <w:tcPr>
            <w:tcW w:w="1080" w:type="dxa"/>
            <w:tcBorders>
              <w:top w:val="single" w:sz="4" w:space="0" w:color="auto"/>
              <w:bottom w:val="single" w:sz="4" w:space="0" w:color="auto"/>
              <w:right w:val="single" w:sz="4" w:space="0" w:color="auto"/>
            </w:tcBorders>
          </w:tcPr>
          <w:p w:rsidR="00A4605E" w:rsidRPr="006531BD" w:rsidRDefault="00A4605E" w:rsidP="00DB6BFE">
            <w:pPr>
              <w:spacing w:before="20"/>
              <w:jc w:val="center"/>
              <w:rPr>
                <w:rFonts w:cs="Arial"/>
                <w:snapToGrid w:val="0"/>
              </w:rPr>
            </w:pPr>
            <w:r w:rsidRPr="006531BD">
              <w:rPr>
                <w:rFonts w:cs="Arial"/>
                <w:snapToGrid w:val="0"/>
              </w:rPr>
              <w:t>---</w:t>
            </w:r>
          </w:p>
        </w:tc>
      </w:tr>
    </w:tbl>
    <w:p w:rsidR="00AF5B9E" w:rsidRPr="006531BD" w:rsidRDefault="00AF5B9E" w:rsidP="00A4605E">
      <w:pPr>
        <w:ind w:left="72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1/</w:t>
      </w:r>
      <w:r w:rsidRPr="006531BD">
        <w:rPr>
          <w:rFonts w:cs="Arial"/>
          <w:snapToGrid w:val="0"/>
        </w:rPr>
        <w:tab/>
        <w:t>Does not apply to crushed concrete.</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2/</w:t>
      </w:r>
      <w:r w:rsidRPr="006531BD">
        <w:rPr>
          <w:rFonts w:cs="Arial"/>
          <w:snapToGrid w:val="0"/>
        </w:rPr>
        <w:tab/>
        <w:t>For aggregate surface course and aggregate shoulders, the maximum percent loss shall be 30.</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3/</w:t>
      </w:r>
      <w:r w:rsidRPr="006531BD">
        <w:rPr>
          <w:rFonts w:cs="Arial"/>
          <w:snapToGrid w:val="0"/>
        </w:rPr>
        <w:tab/>
        <w:t>For portland cement concrete, the maximum percent loss shall be</w:t>
      </w:r>
      <w:r w:rsidR="00B46021">
        <w:rPr>
          <w:rFonts w:cs="Arial"/>
          <w:snapToGrid w:val="0"/>
        </w:rPr>
        <w:t xml:space="preserve"> </w:t>
      </w:r>
      <w:r w:rsidRPr="006531BD">
        <w:rPr>
          <w:rFonts w:cs="Arial"/>
          <w:snapToGrid w:val="0"/>
        </w:rPr>
        <w:t>45.</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4/</w:t>
      </w:r>
      <w:r w:rsidRPr="006531BD">
        <w:rPr>
          <w:rFonts w:cs="Arial"/>
          <w:snapToGrid w:val="0"/>
        </w:rPr>
        <w:tab/>
        <w:t>Does not apply to crushed slag or crushed steel slag.</w:t>
      </w:r>
      <w:r w:rsidR="004025F0">
        <w:rPr>
          <w:rFonts w:cs="Arial"/>
          <w:snapToGrid w:val="0"/>
        </w:rPr>
        <w:t xml:space="preserve">  This is waived for material used in micro-surfacing mixtures.</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5/</w:t>
      </w:r>
      <w:r w:rsidRPr="006531BD">
        <w:rPr>
          <w:rFonts w:cs="Arial"/>
          <w:snapToGrid w:val="0"/>
        </w:rPr>
        <w:tab/>
        <w:t>For hot-mix asphalt (HMA) binder mixtures, except when used as surface course, the maximum percent loss shall be 45.</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6/</w:t>
      </w:r>
      <w:r w:rsidRPr="006531BD">
        <w:rPr>
          <w:rFonts w:cs="Arial"/>
          <w:snapToGrid w:val="0"/>
        </w:rPr>
        <w:tab/>
        <w:t>For crushed aggregate, if the material finer than the No. 200 (75 µm) sieve consists of the dust from fracture, essentially free from clay or silt, this percentage may be increased to 2.5.</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7/</w:t>
      </w:r>
      <w:r w:rsidRPr="006531BD">
        <w:rPr>
          <w:rFonts w:cs="Arial"/>
          <w:snapToGrid w:val="0"/>
        </w:rPr>
        <w:tab/>
        <w:t>Does not apply to aggregates for HMA binder mixtures.</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8/</w:t>
      </w:r>
      <w:r w:rsidRPr="006531BD">
        <w:rPr>
          <w:rFonts w:cs="Arial"/>
          <w:snapToGrid w:val="0"/>
        </w:rPr>
        <w:tab/>
        <w:t>Does not apply to Class A seal and cover coats.</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9/</w:t>
      </w:r>
      <w:r w:rsidRPr="006531BD">
        <w:rPr>
          <w:rFonts w:cs="Arial"/>
          <w:snapToGrid w:val="0"/>
        </w:rPr>
        <w:tab/>
        <w:t xml:space="preserve">Includes deleterious chert.  In gravel and crushed gravel aggregate, deleterious chert shall be the lightweight fraction separated in a 2.35 heavy media separation.  In crushed stone aggregate, deleterious chert shall be the lightweight fraction separated in a 2.55 heavy media separation.  Tests shall be run according to </w:t>
      </w:r>
      <w:r w:rsidRPr="006531BD">
        <w:rPr>
          <w:rFonts w:cs="Arial"/>
        </w:rPr>
        <w:t>ITP 113</w:t>
      </w:r>
      <w:r w:rsidRPr="006531BD">
        <w:rPr>
          <w:rFonts w:cs="Arial"/>
          <w:snapToGrid w:val="0"/>
        </w:rPr>
        <w:t>.</w:t>
      </w:r>
    </w:p>
    <w:p w:rsidR="00AF5B9E" w:rsidRPr="006531BD" w:rsidRDefault="00AF5B9E" w:rsidP="00A4605E">
      <w:pPr>
        <w:ind w:left="1440"/>
        <w:jc w:val="both"/>
        <w:rPr>
          <w:rFonts w:cs="Arial"/>
          <w:snapToGrid w:val="0"/>
        </w:rPr>
      </w:pPr>
    </w:p>
    <w:p w:rsidR="00AF5B9E" w:rsidRPr="006531BD" w:rsidRDefault="00AF5B9E" w:rsidP="00A4605E">
      <w:pPr>
        <w:ind w:left="1440" w:hanging="360"/>
        <w:jc w:val="both"/>
        <w:rPr>
          <w:rFonts w:cs="Arial"/>
          <w:snapToGrid w:val="0"/>
        </w:rPr>
      </w:pPr>
      <w:r w:rsidRPr="006531BD">
        <w:rPr>
          <w:rFonts w:cs="Arial"/>
          <w:snapToGrid w:val="0"/>
        </w:rPr>
        <w:t>10/</w:t>
      </w:r>
      <w:r w:rsidRPr="006531BD">
        <w:rPr>
          <w:rFonts w:cs="Arial"/>
          <w:snapToGrid w:val="0"/>
        </w:rPr>
        <w:tab/>
        <w:t>Test shall be run according to ITP 203.</w:t>
      </w:r>
    </w:p>
    <w:p w:rsidR="00AF5B9E" w:rsidRPr="006531BD" w:rsidRDefault="00AF5B9E" w:rsidP="00A4605E">
      <w:pPr>
        <w:ind w:left="1440"/>
        <w:jc w:val="both"/>
        <w:rPr>
          <w:rFonts w:cs="Arial"/>
          <w:snapToGrid w:val="0"/>
        </w:rPr>
      </w:pPr>
    </w:p>
    <w:p w:rsidR="00AF5B9E" w:rsidRDefault="00AF5B9E" w:rsidP="00A4605E">
      <w:pPr>
        <w:ind w:left="1440" w:hanging="360"/>
        <w:jc w:val="both"/>
        <w:rPr>
          <w:rFonts w:cs="Arial"/>
          <w:snapToGrid w:val="0"/>
        </w:rPr>
      </w:pPr>
      <w:r w:rsidRPr="006531BD">
        <w:rPr>
          <w:rFonts w:cs="Arial"/>
          <w:snapToGrid w:val="0"/>
        </w:rPr>
        <w:t>11/</w:t>
      </w:r>
      <w:r w:rsidRPr="006531BD">
        <w:rPr>
          <w:rFonts w:cs="Arial"/>
          <w:snapToGrid w:val="0"/>
        </w:rPr>
        <w:tab/>
        <w:t>Does not apply to crushed slag.</w:t>
      </w:r>
    </w:p>
    <w:p w:rsidR="004025F0" w:rsidRDefault="004025F0" w:rsidP="00A4605E">
      <w:pPr>
        <w:ind w:left="1440"/>
        <w:jc w:val="both"/>
        <w:rPr>
          <w:rFonts w:cs="Arial"/>
          <w:snapToGrid w:val="0"/>
        </w:rPr>
      </w:pPr>
    </w:p>
    <w:p w:rsidR="004025F0" w:rsidRDefault="004025F0" w:rsidP="00A4605E">
      <w:pPr>
        <w:ind w:left="1440" w:hanging="360"/>
        <w:jc w:val="both"/>
        <w:rPr>
          <w:rFonts w:cs="Arial"/>
          <w:snapToGrid w:val="0"/>
        </w:rPr>
      </w:pPr>
      <w:r>
        <w:rPr>
          <w:rFonts w:cs="Arial"/>
          <w:snapToGrid w:val="0"/>
        </w:rPr>
        <w:t>12/ This is waived for material used in micro-surfacing mixtures.</w:t>
      </w:r>
      <w:r w:rsidR="00A4605E">
        <w:rPr>
          <w:rFonts w:cs="Arial"/>
          <w:snapToGrid w:val="0"/>
        </w:rPr>
        <w:t>”</w:t>
      </w:r>
    </w:p>
    <w:p w:rsidR="00A4605E" w:rsidRDefault="00A4605E" w:rsidP="00B46021">
      <w:pPr>
        <w:jc w:val="both"/>
        <w:rPr>
          <w:rFonts w:cs="Arial"/>
          <w:snapToGrid w:val="0"/>
        </w:rPr>
      </w:pPr>
    </w:p>
    <w:p w:rsidR="00A4605E" w:rsidRDefault="00A4605E" w:rsidP="00B46021">
      <w:pPr>
        <w:jc w:val="both"/>
        <w:rPr>
          <w:rFonts w:cs="Arial"/>
          <w:snapToGrid w:val="0"/>
        </w:rPr>
      </w:pPr>
    </w:p>
    <w:p w:rsidR="00A4605E" w:rsidRPr="00AF5B9E" w:rsidRDefault="00A4605E" w:rsidP="00B46021">
      <w:pPr>
        <w:jc w:val="both"/>
        <w:rPr>
          <w:rFonts w:cs="Arial"/>
          <w:snapToGrid w:val="0"/>
        </w:rPr>
      </w:pPr>
      <w:r>
        <w:rPr>
          <w:rFonts w:cs="Arial"/>
          <w:snapToGrid w:val="0"/>
        </w:rPr>
        <w:t>804</w:t>
      </w:r>
      <w:r w:rsidR="00D5786E">
        <w:rPr>
          <w:rFonts w:cs="Arial"/>
          <w:snapToGrid w:val="0"/>
        </w:rPr>
        <w:t>04</w:t>
      </w:r>
    </w:p>
    <w:sectPr w:rsidR="00A4605E" w:rsidRPr="00AF5B9E"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48" w:rsidRDefault="00A52948">
      <w:r>
        <w:separator/>
      </w:r>
    </w:p>
  </w:endnote>
  <w:endnote w:type="continuationSeparator" w:id="0">
    <w:p w:rsidR="00A52948" w:rsidRDefault="00A5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48" w:rsidRDefault="00A52948">
      <w:r>
        <w:separator/>
      </w:r>
    </w:p>
  </w:footnote>
  <w:footnote w:type="continuationSeparator" w:id="0">
    <w:p w:rsidR="00A52948" w:rsidRDefault="00A5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6976"/>
    <w:rsid w:val="00010FA1"/>
    <w:rsid w:val="00011902"/>
    <w:rsid w:val="00022357"/>
    <w:rsid w:val="00022791"/>
    <w:rsid w:val="000246FB"/>
    <w:rsid w:val="0004779D"/>
    <w:rsid w:val="00053F73"/>
    <w:rsid w:val="00054106"/>
    <w:rsid w:val="00055F5B"/>
    <w:rsid w:val="00057AC8"/>
    <w:rsid w:val="00065061"/>
    <w:rsid w:val="0007271A"/>
    <w:rsid w:val="00073324"/>
    <w:rsid w:val="00083903"/>
    <w:rsid w:val="00084DC0"/>
    <w:rsid w:val="00092BFC"/>
    <w:rsid w:val="00096C74"/>
    <w:rsid w:val="000A4466"/>
    <w:rsid w:val="000A6088"/>
    <w:rsid w:val="000B6FAB"/>
    <w:rsid w:val="000D1C87"/>
    <w:rsid w:val="000E27D6"/>
    <w:rsid w:val="00122C42"/>
    <w:rsid w:val="00124040"/>
    <w:rsid w:val="0013203E"/>
    <w:rsid w:val="00151015"/>
    <w:rsid w:val="00153A74"/>
    <w:rsid w:val="00172E58"/>
    <w:rsid w:val="001839C1"/>
    <w:rsid w:val="001858BD"/>
    <w:rsid w:val="001A6205"/>
    <w:rsid w:val="001B6516"/>
    <w:rsid w:val="001C177C"/>
    <w:rsid w:val="001D09A2"/>
    <w:rsid w:val="001E617D"/>
    <w:rsid w:val="001F58A2"/>
    <w:rsid w:val="001F5E84"/>
    <w:rsid w:val="001F655C"/>
    <w:rsid w:val="00201A0D"/>
    <w:rsid w:val="00204208"/>
    <w:rsid w:val="002066CE"/>
    <w:rsid w:val="00212946"/>
    <w:rsid w:val="0022141B"/>
    <w:rsid w:val="00222889"/>
    <w:rsid w:val="002252E7"/>
    <w:rsid w:val="00231FA4"/>
    <w:rsid w:val="00240778"/>
    <w:rsid w:val="00245AB6"/>
    <w:rsid w:val="00250CA3"/>
    <w:rsid w:val="00252E71"/>
    <w:rsid w:val="00254AE7"/>
    <w:rsid w:val="00261480"/>
    <w:rsid w:val="002652BC"/>
    <w:rsid w:val="002839F7"/>
    <w:rsid w:val="00294FD3"/>
    <w:rsid w:val="002A2DBB"/>
    <w:rsid w:val="002A30A1"/>
    <w:rsid w:val="002B5A7C"/>
    <w:rsid w:val="002C1E05"/>
    <w:rsid w:val="002C6F79"/>
    <w:rsid w:val="002D43CF"/>
    <w:rsid w:val="002E72C5"/>
    <w:rsid w:val="002F21A8"/>
    <w:rsid w:val="0030335A"/>
    <w:rsid w:val="00303903"/>
    <w:rsid w:val="003241BC"/>
    <w:rsid w:val="0034054F"/>
    <w:rsid w:val="00341DF4"/>
    <w:rsid w:val="00345F4C"/>
    <w:rsid w:val="00346F26"/>
    <w:rsid w:val="00363693"/>
    <w:rsid w:val="003647F7"/>
    <w:rsid w:val="003663E6"/>
    <w:rsid w:val="0037328A"/>
    <w:rsid w:val="00377265"/>
    <w:rsid w:val="003823CB"/>
    <w:rsid w:val="00386555"/>
    <w:rsid w:val="00396CBE"/>
    <w:rsid w:val="003A4DB0"/>
    <w:rsid w:val="003A6BD6"/>
    <w:rsid w:val="003D1E68"/>
    <w:rsid w:val="003E2FC5"/>
    <w:rsid w:val="003F1094"/>
    <w:rsid w:val="003F5559"/>
    <w:rsid w:val="004025F0"/>
    <w:rsid w:val="0040323E"/>
    <w:rsid w:val="00422918"/>
    <w:rsid w:val="004231A0"/>
    <w:rsid w:val="00423984"/>
    <w:rsid w:val="00426EC8"/>
    <w:rsid w:val="00435F32"/>
    <w:rsid w:val="00436B80"/>
    <w:rsid w:val="00461413"/>
    <w:rsid w:val="004666B3"/>
    <w:rsid w:val="00472240"/>
    <w:rsid w:val="00473462"/>
    <w:rsid w:val="00483112"/>
    <w:rsid w:val="00486B81"/>
    <w:rsid w:val="004A2D2A"/>
    <w:rsid w:val="004B18C5"/>
    <w:rsid w:val="004B7C5A"/>
    <w:rsid w:val="004C67A4"/>
    <w:rsid w:val="004C6CC1"/>
    <w:rsid w:val="004E0D63"/>
    <w:rsid w:val="00514BE1"/>
    <w:rsid w:val="00515F73"/>
    <w:rsid w:val="0054684A"/>
    <w:rsid w:val="0054798E"/>
    <w:rsid w:val="0055134E"/>
    <w:rsid w:val="00553937"/>
    <w:rsid w:val="00555C21"/>
    <w:rsid w:val="005612C1"/>
    <w:rsid w:val="00565C01"/>
    <w:rsid w:val="005A01D5"/>
    <w:rsid w:val="005A6FE0"/>
    <w:rsid w:val="005E07DB"/>
    <w:rsid w:val="005E315F"/>
    <w:rsid w:val="006134A0"/>
    <w:rsid w:val="00622ADA"/>
    <w:rsid w:val="0062425A"/>
    <w:rsid w:val="0063265D"/>
    <w:rsid w:val="006333C3"/>
    <w:rsid w:val="00633E08"/>
    <w:rsid w:val="00654D17"/>
    <w:rsid w:val="0065543A"/>
    <w:rsid w:val="006555C7"/>
    <w:rsid w:val="00674479"/>
    <w:rsid w:val="00682EDD"/>
    <w:rsid w:val="006A2983"/>
    <w:rsid w:val="006B2AEC"/>
    <w:rsid w:val="006C67C3"/>
    <w:rsid w:val="006D2520"/>
    <w:rsid w:val="006E3AFB"/>
    <w:rsid w:val="006F699F"/>
    <w:rsid w:val="00721634"/>
    <w:rsid w:val="00727F5E"/>
    <w:rsid w:val="00740ABD"/>
    <w:rsid w:val="00741E02"/>
    <w:rsid w:val="007445AF"/>
    <w:rsid w:val="00754661"/>
    <w:rsid w:val="00760FCF"/>
    <w:rsid w:val="0077684E"/>
    <w:rsid w:val="00791B52"/>
    <w:rsid w:val="00797F5D"/>
    <w:rsid w:val="007A01F0"/>
    <w:rsid w:val="007A2779"/>
    <w:rsid w:val="007A7A92"/>
    <w:rsid w:val="007B241D"/>
    <w:rsid w:val="007B4B7D"/>
    <w:rsid w:val="007B65E2"/>
    <w:rsid w:val="007D082E"/>
    <w:rsid w:val="007D0949"/>
    <w:rsid w:val="007D152E"/>
    <w:rsid w:val="007D7268"/>
    <w:rsid w:val="007E2B56"/>
    <w:rsid w:val="007E36BE"/>
    <w:rsid w:val="007E5F69"/>
    <w:rsid w:val="007F130D"/>
    <w:rsid w:val="007F1914"/>
    <w:rsid w:val="007F277B"/>
    <w:rsid w:val="007F6A11"/>
    <w:rsid w:val="007F785D"/>
    <w:rsid w:val="00803BE4"/>
    <w:rsid w:val="008171D0"/>
    <w:rsid w:val="008206C2"/>
    <w:rsid w:val="0083253A"/>
    <w:rsid w:val="008354DE"/>
    <w:rsid w:val="00851BD7"/>
    <w:rsid w:val="00873763"/>
    <w:rsid w:val="008965E8"/>
    <w:rsid w:val="008B4D08"/>
    <w:rsid w:val="008D6FE2"/>
    <w:rsid w:val="008E6141"/>
    <w:rsid w:val="008F4469"/>
    <w:rsid w:val="00904B9B"/>
    <w:rsid w:val="0092256E"/>
    <w:rsid w:val="00923214"/>
    <w:rsid w:val="009268CE"/>
    <w:rsid w:val="009404FF"/>
    <w:rsid w:val="00951E65"/>
    <w:rsid w:val="0095259B"/>
    <w:rsid w:val="00992409"/>
    <w:rsid w:val="009B0C77"/>
    <w:rsid w:val="009C4CF3"/>
    <w:rsid w:val="009C5CD4"/>
    <w:rsid w:val="009D0D13"/>
    <w:rsid w:val="009D62D6"/>
    <w:rsid w:val="009D6BF3"/>
    <w:rsid w:val="009E551D"/>
    <w:rsid w:val="009F16C4"/>
    <w:rsid w:val="00A00EEF"/>
    <w:rsid w:val="00A05E3B"/>
    <w:rsid w:val="00A20783"/>
    <w:rsid w:val="00A30454"/>
    <w:rsid w:val="00A32FBB"/>
    <w:rsid w:val="00A360AD"/>
    <w:rsid w:val="00A42569"/>
    <w:rsid w:val="00A4605E"/>
    <w:rsid w:val="00A52948"/>
    <w:rsid w:val="00A529AC"/>
    <w:rsid w:val="00A55AB4"/>
    <w:rsid w:val="00A6249D"/>
    <w:rsid w:val="00A64A98"/>
    <w:rsid w:val="00A656AE"/>
    <w:rsid w:val="00A65985"/>
    <w:rsid w:val="00A81A4A"/>
    <w:rsid w:val="00A8316C"/>
    <w:rsid w:val="00A91CE3"/>
    <w:rsid w:val="00A9219A"/>
    <w:rsid w:val="00A93DBF"/>
    <w:rsid w:val="00A96826"/>
    <w:rsid w:val="00AB34B4"/>
    <w:rsid w:val="00AC4BB9"/>
    <w:rsid w:val="00AC5F32"/>
    <w:rsid w:val="00AD2A12"/>
    <w:rsid w:val="00AD6033"/>
    <w:rsid w:val="00AF525F"/>
    <w:rsid w:val="00AF5B9E"/>
    <w:rsid w:val="00B00E97"/>
    <w:rsid w:val="00B0599E"/>
    <w:rsid w:val="00B144A9"/>
    <w:rsid w:val="00B1526F"/>
    <w:rsid w:val="00B23CC4"/>
    <w:rsid w:val="00B362C4"/>
    <w:rsid w:val="00B4093F"/>
    <w:rsid w:val="00B426E3"/>
    <w:rsid w:val="00B46021"/>
    <w:rsid w:val="00B51B4A"/>
    <w:rsid w:val="00B76FC9"/>
    <w:rsid w:val="00B81C7F"/>
    <w:rsid w:val="00B8210B"/>
    <w:rsid w:val="00B85293"/>
    <w:rsid w:val="00B951B1"/>
    <w:rsid w:val="00B97426"/>
    <w:rsid w:val="00BA6CC0"/>
    <w:rsid w:val="00BA6D45"/>
    <w:rsid w:val="00BC2A9B"/>
    <w:rsid w:val="00BC5CB0"/>
    <w:rsid w:val="00BC7DB1"/>
    <w:rsid w:val="00BF10F9"/>
    <w:rsid w:val="00C12396"/>
    <w:rsid w:val="00C16CAB"/>
    <w:rsid w:val="00C23206"/>
    <w:rsid w:val="00C23EBB"/>
    <w:rsid w:val="00C346A2"/>
    <w:rsid w:val="00C36F27"/>
    <w:rsid w:val="00C422D9"/>
    <w:rsid w:val="00C4777B"/>
    <w:rsid w:val="00C561A4"/>
    <w:rsid w:val="00C632D6"/>
    <w:rsid w:val="00C65CA5"/>
    <w:rsid w:val="00C6762A"/>
    <w:rsid w:val="00C72126"/>
    <w:rsid w:val="00C72DAD"/>
    <w:rsid w:val="00C800AD"/>
    <w:rsid w:val="00C9289F"/>
    <w:rsid w:val="00C92ED4"/>
    <w:rsid w:val="00C96839"/>
    <w:rsid w:val="00CA440E"/>
    <w:rsid w:val="00CA4BF1"/>
    <w:rsid w:val="00CD375D"/>
    <w:rsid w:val="00CD455A"/>
    <w:rsid w:val="00CE101E"/>
    <w:rsid w:val="00CE2740"/>
    <w:rsid w:val="00CF7C38"/>
    <w:rsid w:val="00D04916"/>
    <w:rsid w:val="00D04BB7"/>
    <w:rsid w:val="00D17240"/>
    <w:rsid w:val="00D17C30"/>
    <w:rsid w:val="00D20703"/>
    <w:rsid w:val="00D226C3"/>
    <w:rsid w:val="00D27328"/>
    <w:rsid w:val="00D27677"/>
    <w:rsid w:val="00D30B5C"/>
    <w:rsid w:val="00D50CA8"/>
    <w:rsid w:val="00D56889"/>
    <w:rsid w:val="00D5786E"/>
    <w:rsid w:val="00D629CC"/>
    <w:rsid w:val="00D66723"/>
    <w:rsid w:val="00D67478"/>
    <w:rsid w:val="00D734BA"/>
    <w:rsid w:val="00D742DA"/>
    <w:rsid w:val="00D832AF"/>
    <w:rsid w:val="00D8467E"/>
    <w:rsid w:val="00D84700"/>
    <w:rsid w:val="00DA792A"/>
    <w:rsid w:val="00DB5506"/>
    <w:rsid w:val="00DB6BFE"/>
    <w:rsid w:val="00DC5520"/>
    <w:rsid w:val="00DC7522"/>
    <w:rsid w:val="00DD2F8D"/>
    <w:rsid w:val="00DE2A53"/>
    <w:rsid w:val="00E12040"/>
    <w:rsid w:val="00E14CFC"/>
    <w:rsid w:val="00E207FE"/>
    <w:rsid w:val="00E228CA"/>
    <w:rsid w:val="00E3355A"/>
    <w:rsid w:val="00E33DDE"/>
    <w:rsid w:val="00E3754F"/>
    <w:rsid w:val="00E432BF"/>
    <w:rsid w:val="00E4583D"/>
    <w:rsid w:val="00E5669E"/>
    <w:rsid w:val="00E61D54"/>
    <w:rsid w:val="00E64E83"/>
    <w:rsid w:val="00E70345"/>
    <w:rsid w:val="00E73092"/>
    <w:rsid w:val="00E77B61"/>
    <w:rsid w:val="00E8682C"/>
    <w:rsid w:val="00E95B0F"/>
    <w:rsid w:val="00E97CC0"/>
    <w:rsid w:val="00EA4FC2"/>
    <w:rsid w:val="00EE0DD8"/>
    <w:rsid w:val="00EE3855"/>
    <w:rsid w:val="00EE5F15"/>
    <w:rsid w:val="00EE78EF"/>
    <w:rsid w:val="00EF2C3E"/>
    <w:rsid w:val="00F028B2"/>
    <w:rsid w:val="00F063FD"/>
    <w:rsid w:val="00F069FE"/>
    <w:rsid w:val="00F223E9"/>
    <w:rsid w:val="00F42535"/>
    <w:rsid w:val="00F43A39"/>
    <w:rsid w:val="00F45D2E"/>
    <w:rsid w:val="00F47DC6"/>
    <w:rsid w:val="00F54D66"/>
    <w:rsid w:val="00F62A67"/>
    <w:rsid w:val="00F64BC4"/>
    <w:rsid w:val="00F66F70"/>
    <w:rsid w:val="00F75901"/>
    <w:rsid w:val="00F85B22"/>
    <w:rsid w:val="00F86826"/>
    <w:rsid w:val="00F8692F"/>
    <w:rsid w:val="00FA1235"/>
    <w:rsid w:val="00FA7620"/>
    <w:rsid w:val="00FB3F03"/>
    <w:rsid w:val="00FC75A0"/>
    <w:rsid w:val="00FE6735"/>
    <w:rsid w:val="00FE6C9B"/>
    <w:rsid w:val="00FE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30AAD45-0D22-4FD7-A1D8-5595A6C2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E20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C29F-D6E9-4E13-B6B2-FC6D01E7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6FFFAAD1.dotm</Template>
  <TotalTime>15</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Coarse Aggregate Quality for Micro-Surfacing and Cape Seals</vt:lpstr>
    </vt:vector>
  </TitlesOfParts>
  <Company>IDOT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Coarse Aggregate Quality for Micro-Surfacing and Cape Seals</dc:title>
  <dc:subject>E 01/01/19</dc:subject>
  <dc:creator>BDE</dc:creator>
  <cp:keywords/>
  <cp:lastModifiedBy>brandmd</cp:lastModifiedBy>
  <cp:revision>7</cp:revision>
  <cp:lastPrinted>2018-09-24T14:53:00Z</cp:lastPrinted>
  <dcterms:created xsi:type="dcterms:W3CDTF">2018-08-31T15:53:00Z</dcterms:created>
  <dcterms:modified xsi:type="dcterms:W3CDTF">2018-09-24T14:53:00Z</dcterms:modified>
</cp:coreProperties>
</file>