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6318"/>
        <w:gridCol w:w="72"/>
      </w:tblGrid>
      <w:tr w:rsidR="00114993">
        <w:tc>
          <w:tcPr>
            <w:tcW w:w="9630" w:type="dxa"/>
            <w:gridSpan w:val="4"/>
            <w:tcBorders>
              <w:top w:val="nil"/>
              <w:left w:val="nil"/>
              <w:bottom w:val="nil"/>
              <w:right w:val="nil"/>
            </w:tcBorders>
          </w:tcPr>
          <w:bookmarkStart w:id="0" w:name="_GoBack"/>
          <w:bookmarkEnd w:id="0"/>
          <w:p w:rsidR="00114993" w:rsidRDefault="00E111E5">
            <w:pPr>
              <w:ind w:left="-18"/>
            </w:pPr>
            <w:r>
              <w:rPr>
                <w:noProof/>
              </w:rPr>
              <mc:AlternateContent>
                <mc:Choice Requires="wps">
                  <w:drawing>
                    <wp:anchor distT="0" distB="0" distL="114300" distR="114300" simplePos="0" relativeHeight="251657728" behindDoc="0" locked="0" layoutInCell="0" allowOverlap="1">
                      <wp:simplePos x="0" y="0"/>
                      <wp:positionH relativeFrom="column">
                        <wp:posOffset>457200</wp:posOffset>
                      </wp:positionH>
                      <wp:positionV relativeFrom="paragraph">
                        <wp:posOffset>696595</wp:posOffset>
                      </wp:positionV>
                      <wp:extent cx="2857500" cy="406400"/>
                      <wp:effectExtent l="0" t="127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209" w:rsidRDefault="00C21209">
                                  <w:r>
                                    <w:rPr>
                                      <w:rFonts w:ascii="Helvetica" w:hAnsi="Helvetica"/>
                                      <w:b/>
                                      <w:sz w:val="36"/>
                                    </w:rPr>
                                    <w:t>Memorandum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54.85pt;width:22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9GgA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" o:allowincell="f" stroked="f">
                      <v:textbox>
                        <w:txbxContent>
                          <w:p w:rsidR="00C21209" w:rsidRDefault="00C21209">
                            <w:r>
                              <w:rPr>
                                <w:rFonts w:ascii="Helvetica" w:hAnsi="Helvetica"/>
                                <w:b/>
                                <w:sz w:val="36"/>
                              </w:rPr>
                              <w:t>Memorandum</w:t>
                            </w:r>
                          </w:p>
                        </w:txbxContent>
                      </v:textbox>
                    </v:shape>
                  </w:pict>
                </mc:Fallback>
              </mc:AlternateContent>
            </w:r>
            <w:r w:rsidR="001A538E">
              <w:rPr>
                <w:noProof/>
              </w:rPr>
              <w:drawing>
                <wp:inline distT="0" distB="0" distL="0" distR="0">
                  <wp:extent cx="5838825" cy="1038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38825" cy="1038225"/>
                          </a:xfrm>
                          <a:prstGeom prst="rect">
                            <a:avLst/>
                          </a:prstGeom>
                          <a:noFill/>
                          <a:ln w="9525">
                            <a:noFill/>
                            <a:miter lim="800000"/>
                            <a:headEnd/>
                            <a:tailEnd/>
                          </a:ln>
                        </pic:spPr>
                      </pic:pic>
                    </a:graphicData>
                  </a:graphic>
                </wp:inline>
              </w:drawing>
            </w:r>
          </w:p>
          <w:p w:rsidR="00114993" w:rsidRDefault="00114993">
            <w:pPr>
              <w:ind w:left="-18"/>
            </w:pPr>
          </w:p>
        </w:tc>
      </w:tr>
      <w:tr w:rsidR="00114993">
        <w:trPr>
          <w:gridBefore w:val="1"/>
          <w:gridAfter w:val="1"/>
          <w:wBefore w:w="1620" w:type="dxa"/>
          <w:wAfter w:w="72" w:type="dxa"/>
          <w:cantSplit/>
          <w:trHeight w:hRule="exact" w:val="403"/>
        </w:trPr>
        <w:tc>
          <w:tcPr>
            <w:tcW w:w="1620" w:type="dxa"/>
            <w:tcBorders>
              <w:top w:val="single" w:sz="4" w:space="0" w:color="auto"/>
              <w:left w:val="nil"/>
              <w:bottom w:val="nil"/>
              <w:right w:val="nil"/>
            </w:tcBorders>
            <w:vAlign w:val="bottom"/>
          </w:tcPr>
          <w:p w:rsidR="00114993" w:rsidRPr="00065D96" w:rsidRDefault="00114993">
            <w:pPr>
              <w:rPr>
                <w:szCs w:val="22"/>
              </w:rPr>
            </w:pPr>
            <w:r w:rsidRPr="00065D96">
              <w:rPr>
                <w:rFonts w:ascii="Helvetica" w:hAnsi="Helvetica"/>
                <w:szCs w:val="22"/>
              </w:rPr>
              <w:t>To:</w:t>
            </w:r>
          </w:p>
        </w:tc>
        <w:tc>
          <w:tcPr>
            <w:tcW w:w="6318" w:type="dxa"/>
            <w:tcBorders>
              <w:top w:val="single" w:sz="4" w:space="0" w:color="auto"/>
              <w:left w:val="nil"/>
              <w:bottom w:val="nil"/>
              <w:right w:val="nil"/>
            </w:tcBorders>
            <w:vAlign w:val="bottom"/>
          </w:tcPr>
          <w:p w:rsidR="00114993" w:rsidRPr="00065D96" w:rsidRDefault="001855FF" w:rsidP="003734E3">
            <w:pPr>
              <w:rPr>
                <w:szCs w:val="22"/>
              </w:rPr>
            </w:pPr>
            <w:r w:rsidRPr="00065D96">
              <w:rPr>
                <w:szCs w:val="22"/>
              </w:rPr>
              <w:t xml:space="preserve">Studies &amp; Plans Squads                 </w:t>
            </w:r>
            <w:r w:rsidR="00721A39" w:rsidRPr="00065D96">
              <w:rPr>
                <w:szCs w:val="22"/>
              </w:rPr>
              <w:t xml:space="preserve">    </w:t>
            </w:r>
            <w:r w:rsidR="003734E3" w:rsidRPr="00065D96">
              <w:rPr>
                <w:szCs w:val="22"/>
              </w:rPr>
              <w:t xml:space="preserve">  </w:t>
            </w:r>
            <w:r w:rsidRPr="00065D96">
              <w:rPr>
                <w:szCs w:val="22"/>
              </w:rPr>
              <w:t xml:space="preserve">            PPM 10-</w:t>
            </w:r>
            <w:r w:rsidR="003734E3" w:rsidRPr="00065D96">
              <w:rPr>
                <w:szCs w:val="22"/>
              </w:rPr>
              <w:t>7</w:t>
            </w:r>
          </w:p>
        </w:tc>
      </w:tr>
      <w:tr w:rsidR="00114993">
        <w:trPr>
          <w:gridBefore w:val="1"/>
          <w:gridAfter w:val="1"/>
          <w:wBefore w:w="1620" w:type="dxa"/>
          <w:wAfter w:w="72" w:type="dxa"/>
          <w:cantSplit/>
          <w:trHeight w:hRule="exact" w:val="403"/>
        </w:trPr>
        <w:tc>
          <w:tcPr>
            <w:tcW w:w="1620" w:type="dxa"/>
            <w:tcBorders>
              <w:top w:val="nil"/>
              <w:left w:val="nil"/>
              <w:bottom w:val="nil"/>
              <w:right w:val="nil"/>
            </w:tcBorders>
            <w:vAlign w:val="bottom"/>
          </w:tcPr>
          <w:p w:rsidR="00114993" w:rsidRPr="00065D96" w:rsidRDefault="00114993">
            <w:pPr>
              <w:rPr>
                <w:rFonts w:ascii="Helvetica" w:hAnsi="Helvetica"/>
                <w:szCs w:val="22"/>
              </w:rPr>
            </w:pPr>
            <w:r w:rsidRPr="00065D96">
              <w:rPr>
                <w:rFonts w:ascii="Helvetica" w:hAnsi="Helvetica"/>
                <w:szCs w:val="22"/>
              </w:rPr>
              <w:t>From:</w:t>
            </w:r>
          </w:p>
        </w:tc>
        <w:tc>
          <w:tcPr>
            <w:tcW w:w="6318" w:type="dxa"/>
            <w:tcBorders>
              <w:top w:val="nil"/>
              <w:left w:val="nil"/>
              <w:bottom w:val="nil"/>
              <w:right w:val="nil"/>
            </w:tcBorders>
            <w:vAlign w:val="bottom"/>
          </w:tcPr>
          <w:p w:rsidR="00114993" w:rsidRPr="00065D96" w:rsidRDefault="003734E3" w:rsidP="00FF4B59">
            <w:pPr>
              <w:rPr>
                <w:szCs w:val="22"/>
              </w:rPr>
            </w:pPr>
            <w:r w:rsidRPr="00065D96">
              <w:rPr>
                <w:szCs w:val="22"/>
              </w:rPr>
              <w:t xml:space="preserve">Dave </w:t>
            </w:r>
            <w:proofErr w:type="spellStart"/>
            <w:r w:rsidRPr="00065D96">
              <w:rPr>
                <w:szCs w:val="22"/>
              </w:rPr>
              <w:t>Bayler</w:t>
            </w:r>
            <w:proofErr w:type="spellEnd"/>
            <w:r w:rsidRPr="00065D96">
              <w:rPr>
                <w:szCs w:val="22"/>
              </w:rPr>
              <w:t xml:space="preserve">                             </w:t>
            </w:r>
            <w:r w:rsidR="00721A39" w:rsidRPr="00065D96">
              <w:rPr>
                <w:szCs w:val="22"/>
              </w:rPr>
              <w:t xml:space="preserve">   </w:t>
            </w:r>
            <w:r w:rsidRPr="00065D96">
              <w:rPr>
                <w:szCs w:val="22"/>
              </w:rPr>
              <w:t xml:space="preserve">    Revised:  </w:t>
            </w:r>
            <w:r w:rsidR="00FF4B59">
              <w:rPr>
                <w:szCs w:val="22"/>
              </w:rPr>
              <w:t>Scott Neihart</w:t>
            </w:r>
            <w:r w:rsidR="003A2676" w:rsidRPr="00065D96">
              <w:rPr>
                <w:szCs w:val="22"/>
              </w:rPr>
              <w:t xml:space="preserve">   </w:t>
            </w:r>
          </w:p>
        </w:tc>
      </w:tr>
      <w:tr w:rsidR="00114993">
        <w:trPr>
          <w:gridBefore w:val="1"/>
          <w:gridAfter w:val="1"/>
          <w:wBefore w:w="1620" w:type="dxa"/>
          <w:wAfter w:w="72" w:type="dxa"/>
          <w:cantSplit/>
          <w:trHeight w:hRule="exact" w:val="418"/>
        </w:trPr>
        <w:tc>
          <w:tcPr>
            <w:tcW w:w="1620" w:type="dxa"/>
            <w:tcBorders>
              <w:top w:val="nil"/>
              <w:left w:val="nil"/>
              <w:bottom w:val="nil"/>
              <w:right w:val="nil"/>
            </w:tcBorders>
            <w:vAlign w:val="bottom"/>
          </w:tcPr>
          <w:p w:rsidR="00114993" w:rsidRPr="00065D96" w:rsidRDefault="00114993">
            <w:pPr>
              <w:rPr>
                <w:rFonts w:ascii="Helvetica" w:hAnsi="Helvetica"/>
                <w:szCs w:val="22"/>
              </w:rPr>
            </w:pPr>
            <w:r w:rsidRPr="00065D96">
              <w:rPr>
                <w:rFonts w:ascii="Helvetica" w:hAnsi="Helvetica"/>
                <w:szCs w:val="22"/>
              </w:rPr>
              <w:t>Subject:</w:t>
            </w:r>
          </w:p>
        </w:tc>
        <w:tc>
          <w:tcPr>
            <w:tcW w:w="6318" w:type="dxa"/>
            <w:tcBorders>
              <w:top w:val="nil"/>
              <w:left w:val="nil"/>
              <w:bottom w:val="nil"/>
              <w:right w:val="nil"/>
            </w:tcBorders>
            <w:vAlign w:val="bottom"/>
          </w:tcPr>
          <w:p w:rsidR="00114993" w:rsidRPr="00065D96" w:rsidRDefault="00721A39" w:rsidP="001855FF">
            <w:pPr>
              <w:rPr>
                <w:szCs w:val="22"/>
              </w:rPr>
            </w:pPr>
            <w:r w:rsidRPr="00065D96">
              <w:rPr>
                <w:szCs w:val="22"/>
              </w:rPr>
              <w:t>Project Report Circu</w:t>
            </w:r>
            <w:r w:rsidR="003734E3" w:rsidRPr="00065D96">
              <w:rPr>
                <w:szCs w:val="22"/>
              </w:rPr>
              <w:t>lation</w:t>
            </w:r>
          </w:p>
        </w:tc>
      </w:tr>
      <w:tr w:rsidR="00114993">
        <w:trPr>
          <w:gridBefore w:val="1"/>
          <w:gridAfter w:val="1"/>
          <w:wBefore w:w="1620" w:type="dxa"/>
          <w:wAfter w:w="72" w:type="dxa"/>
          <w:cantSplit/>
          <w:trHeight w:hRule="exact" w:val="432"/>
        </w:trPr>
        <w:tc>
          <w:tcPr>
            <w:tcW w:w="1620" w:type="dxa"/>
            <w:tcBorders>
              <w:top w:val="nil"/>
              <w:left w:val="nil"/>
              <w:bottom w:val="nil"/>
              <w:right w:val="nil"/>
            </w:tcBorders>
            <w:vAlign w:val="bottom"/>
          </w:tcPr>
          <w:p w:rsidR="00114993" w:rsidRPr="00065D96" w:rsidRDefault="00114993">
            <w:pPr>
              <w:rPr>
                <w:rFonts w:ascii="Helvetica" w:hAnsi="Helvetica"/>
                <w:szCs w:val="22"/>
              </w:rPr>
            </w:pPr>
            <w:r w:rsidRPr="00065D96">
              <w:rPr>
                <w:rFonts w:ascii="Helvetica" w:hAnsi="Helvetica"/>
                <w:szCs w:val="22"/>
              </w:rPr>
              <w:t>Date:</w:t>
            </w:r>
          </w:p>
        </w:tc>
        <w:tc>
          <w:tcPr>
            <w:tcW w:w="6318" w:type="dxa"/>
            <w:tcBorders>
              <w:top w:val="nil"/>
              <w:left w:val="nil"/>
              <w:bottom w:val="nil"/>
              <w:right w:val="nil"/>
            </w:tcBorders>
            <w:vAlign w:val="bottom"/>
          </w:tcPr>
          <w:p w:rsidR="00114993" w:rsidRPr="00065D96" w:rsidRDefault="003734E3" w:rsidP="00723FEE">
            <w:pPr>
              <w:rPr>
                <w:szCs w:val="22"/>
              </w:rPr>
            </w:pPr>
            <w:r w:rsidRPr="00065D96">
              <w:rPr>
                <w:szCs w:val="22"/>
              </w:rPr>
              <w:t xml:space="preserve">February 26, 1996          </w:t>
            </w:r>
            <w:r w:rsidR="00721A39" w:rsidRPr="00065D96">
              <w:rPr>
                <w:szCs w:val="22"/>
              </w:rPr>
              <w:t xml:space="preserve">Revision Date:  </w:t>
            </w:r>
            <w:r w:rsidR="00723FEE">
              <w:rPr>
                <w:szCs w:val="22"/>
              </w:rPr>
              <w:t>July 16, 2016</w:t>
            </w:r>
          </w:p>
        </w:tc>
      </w:tr>
      <w:tr w:rsidR="00114993">
        <w:trPr>
          <w:gridBefore w:val="1"/>
          <w:gridAfter w:val="1"/>
          <w:wBefore w:w="1620" w:type="dxa"/>
          <w:wAfter w:w="72" w:type="dxa"/>
          <w:cantSplit/>
          <w:trHeight w:val="288"/>
        </w:trPr>
        <w:tc>
          <w:tcPr>
            <w:tcW w:w="7938" w:type="dxa"/>
            <w:gridSpan w:val="2"/>
            <w:tcBorders>
              <w:top w:val="nil"/>
              <w:left w:val="nil"/>
              <w:bottom w:val="single" w:sz="4" w:space="0" w:color="auto"/>
              <w:right w:val="nil"/>
            </w:tcBorders>
          </w:tcPr>
          <w:p w:rsidR="00114993" w:rsidRDefault="00114993"/>
        </w:tc>
      </w:tr>
    </w:tbl>
    <w:p w:rsidR="003E3C13" w:rsidRDefault="003E3C13" w:rsidP="003F419F">
      <w:pPr>
        <w:spacing w:before="120"/>
        <w:ind w:left="907"/>
        <w:sectPr w:rsidR="003E3C13">
          <w:type w:val="continuous"/>
          <w:pgSz w:w="12240" w:h="15840"/>
          <w:pgMar w:top="720" w:right="1800" w:bottom="1440" w:left="1800" w:header="720" w:footer="720" w:gutter="0"/>
          <w:cols w:space="720"/>
        </w:sectPr>
      </w:pPr>
    </w:p>
    <w:p w:rsidR="00114993" w:rsidRDefault="00114993" w:rsidP="00DC1D49">
      <w:pPr>
        <w:ind w:left="907"/>
        <w:rPr>
          <w:sz w:val="12"/>
        </w:rPr>
      </w:pPr>
    </w:p>
    <w:p w:rsidR="00723FEE" w:rsidRDefault="00723FEE" w:rsidP="00723FEE">
      <w:pPr>
        <w:ind w:left="907"/>
        <w:rPr>
          <w:b/>
          <w:sz w:val="24"/>
          <w:szCs w:val="24"/>
        </w:rPr>
      </w:pPr>
      <w:r>
        <w:rPr>
          <w:b/>
          <w:sz w:val="24"/>
          <w:szCs w:val="24"/>
        </w:rPr>
        <w:t>PLAN PREPARATION MEMORANDUM 10-7</w:t>
      </w:r>
    </w:p>
    <w:p w:rsidR="00723FEE" w:rsidRDefault="00723FEE" w:rsidP="00723FEE">
      <w:pPr>
        <w:ind w:left="907"/>
        <w:rPr>
          <w:szCs w:val="22"/>
        </w:rPr>
      </w:pPr>
    </w:p>
    <w:p w:rsidR="00723FEE" w:rsidRDefault="00723FEE" w:rsidP="00723FEE">
      <w:pPr>
        <w:ind w:left="900"/>
        <w:rPr>
          <w:b/>
          <w:szCs w:val="22"/>
        </w:rPr>
      </w:pPr>
      <w:r>
        <w:rPr>
          <w:b/>
          <w:szCs w:val="22"/>
        </w:rPr>
        <w:t>BACKGROUND AND PROCEDURE</w:t>
      </w:r>
    </w:p>
    <w:p w:rsidR="00723FEE" w:rsidRDefault="00723FEE" w:rsidP="00723FEE">
      <w:pPr>
        <w:ind w:left="900"/>
        <w:rPr>
          <w:szCs w:val="22"/>
        </w:rPr>
      </w:pPr>
    </w:p>
    <w:p w:rsidR="00723FEE" w:rsidRDefault="00723FEE" w:rsidP="00723FEE">
      <w:pPr>
        <w:ind w:left="900"/>
        <w:rPr>
          <w:szCs w:val="22"/>
        </w:rPr>
      </w:pPr>
      <w:r>
        <w:rPr>
          <w:szCs w:val="22"/>
        </w:rPr>
        <w:t>BDE Manual Chapter 12 discusses approval authority of Phase I Reports. As a supplement to the BDE Manual, the following District procedure should be followed for Design Approval of Phase I Reports.  Please circulate Phase I Project Reports through the following personnel prior to District approval:</w:t>
      </w:r>
    </w:p>
    <w:p w:rsidR="00723FEE" w:rsidRDefault="00723FEE" w:rsidP="00723FEE">
      <w:pPr>
        <w:ind w:left="900" w:right="-90"/>
        <w:rPr>
          <w:szCs w:val="22"/>
        </w:rPr>
      </w:pPr>
    </w:p>
    <w:p w:rsidR="00723FEE" w:rsidRDefault="00723FEE" w:rsidP="00723FEE">
      <w:pPr>
        <w:ind w:left="900" w:right="-90"/>
        <w:rPr>
          <w:szCs w:val="22"/>
          <w:u w:val="single"/>
        </w:rPr>
      </w:pPr>
      <w:r>
        <w:rPr>
          <w:szCs w:val="22"/>
          <w:u w:val="single"/>
        </w:rPr>
        <w:t xml:space="preserve">Pre-Final and Final Review </w:t>
      </w:r>
    </w:p>
    <w:p w:rsidR="00723FEE" w:rsidRDefault="00723FEE" w:rsidP="00723FEE">
      <w:pPr>
        <w:ind w:left="900" w:right="-90"/>
        <w:rPr>
          <w:szCs w:val="22"/>
        </w:rPr>
      </w:pPr>
    </w:p>
    <w:p w:rsidR="00723FEE" w:rsidRDefault="00723FEE" w:rsidP="00723FEE">
      <w:pPr>
        <w:numPr>
          <w:ilvl w:val="0"/>
          <w:numId w:val="5"/>
        </w:numPr>
        <w:ind w:right="-90"/>
        <w:rPr>
          <w:szCs w:val="22"/>
        </w:rPr>
      </w:pPr>
      <w:r>
        <w:rPr>
          <w:szCs w:val="22"/>
        </w:rPr>
        <w:t>Studies &amp; Plans Squad Leader</w:t>
      </w:r>
    </w:p>
    <w:p w:rsidR="00723FEE" w:rsidRDefault="00723FEE" w:rsidP="00723FEE">
      <w:pPr>
        <w:numPr>
          <w:ilvl w:val="0"/>
          <w:numId w:val="5"/>
        </w:numPr>
        <w:ind w:right="-90"/>
        <w:rPr>
          <w:szCs w:val="22"/>
        </w:rPr>
      </w:pPr>
      <w:r>
        <w:rPr>
          <w:szCs w:val="22"/>
        </w:rPr>
        <w:t>Project Engineer (Respective)</w:t>
      </w:r>
    </w:p>
    <w:p w:rsidR="00723FEE" w:rsidRDefault="00723FEE" w:rsidP="00723FEE">
      <w:pPr>
        <w:numPr>
          <w:ilvl w:val="0"/>
          <w:numId w:val="5"/>
        </w:numPr>
        <w:ind w:right="-90"/>
        <w:rPr>
          <w:szCs w:val="22"/>
        </w:rPr>
      </w:pPr>
      <w:r>
        <w:rPr>
          <w:szCs w:val="22"/>
        </w:rPr>
        <w:t>Project Engineer (NJF – Commitments)</w:t>
      </w:r>
    </w:p>
    <w:p w:rsidR="00723FEE" w:rsidRDefault="00723FEE" w:rsidP="00723FEE">
      <w:pPr>
        <w:numPr>
          <w:ilvl w:val="0"/>
          <w:numId w:val="5"/>
        </w:numPr>
        <w:ind w:right="-90"/>
        <w:rPr>
          <w:szCs w:val="22"/>
        </w:rPr>
      </w:pPr>
      <w:r>
        <w:rPr>
          <w:szCs w:val="22"/>
        </w:rPr>
        <w:t>Environmental Studies</w:t>
      </w:r>
    </w:p>
    <w:p w:rsidR="00723FEE" w:rsidRDefault="00723FEE" w:rsidP="00723FEE">
      <w:pPr>
        <w:numPr>
          <w:ilvl w:val="0"/>
          <w:numId w:val="5"/>
        </w:numPr>
        <w:ind w:right="-90"/>
        <w:rPr>
          <w:szCs w:val="22"/>
        </w:rPr>
      </w:pPr>
      <w:r>
        <w:rPr>
          <w:szCs w:val="22"/>
        </w:rPr>
        <w:t>Consultant Liaison Unit (if applicable)</w:t>
      </w:r>
    </w:p>
    <w:p w:rsidR="00723FEE" w:rsidRDefault="00723FEE" w:rsidP="00723FEE">
      <w:pPr>
        <w:numPr>
          <w:ilvl w:val="0"/>
          <w:numId w:val="5"/>
        </w:numPr>
        <w:ind w:right="-90"/>
        <w:rPr>
          <w:szCs w:val="22"/>
        </w:rPr>
      </w:pPr>
      <w:r>
        <w:rPr>
          <w:szCs w:val="22"/>
        </w:rPr>
        <w:t>Project Support Engineer</w:t>
      </w:r>
    </w:p>
    <w:p w:rsidR="00723FEE" w:rsidRDefault="00723FEE" w:rsidP="00723FEE">
      <w:pPr>
        <w:numPr>
          <w:ilvl w:val="0"/>
          <w:numId w:val="5"/>
        </w:numPr>
        <w:ind w:right="-90"/>
        <w:rPr>
          <w:szCs w:val="22"/>
        </w:rPr>
      </w:pPr>
      <w:r>
        <w:rPr>
          <w:szCs w:val="22"/>
        </w:rPr>
        <w:t>Land Acquisition Engineer (if applicable)</w:t>
      </w:r>
    </w:p>
    <w:p w:rsidR="00723FEE" w:rsidRDefault="00723FEE" w:rsidP="00723FEE">
      <w:pPr>
        <w:numPr>
          <w:ilvl w:val="0"/>
          <w:numId w:val="5"/>
        </w:numPr>
        <w:ind w:right="-90"/>
        <w:rPr>
          <w:szCs w:val="22"/>
        </w:rPr>
      </w:pPr>
      <w:r>
        <w:rPr>
          <w:szCs w:val="22"/>
        </w:rPr>
        <w:t>Programming Engineer</w:t>
      </w:r>
    </w:p>
    <w:p w:rsidR="00723FEE" w:rsidRDefault="00723FEE" w:rsidP="00723FEE">
      <w:pPr>
        <w:numPr>
          <w:ilvl w:val="0"/>
          <w:numId w:val="5"/>
        </w:numPr>
        <w:ind w:right="-90"/>
        <w:rPr>
          <w:szCs w:val="22"/>
        </w:rPr>
      </w:pPr>
      <w:r>
        <w:rPr>
          <w:szCs w:val="22"/>
        </w:rPr>
        <w:t>Bridge &amp; Hydraulics Engineer (if applicable)</w:t>
      </w:r>
    </w:p>
    <w:p w:rsidR="00723FEE" w:rsidRDefault="00723FEE" w:rsidP="00723FEE">
      <w:pPr>
        <w:numPr>
          <w:ilvl w:val="0"/>
          <w:numId w:val="5"/>
        </w:numPr>
        <w:ind w:right="-90"/>
        <w:rPr>
          <w:szCs w:val="22"/>
        </w:rPr>
      </w:pPr>
      <w:r>
        <w:rPr>
          <w:szCs w:val="22"/>
        </w:rPr>
        <w:t>Studies &amp; Plans Engineer</w:t>
      </w:r>
    </w:p>
    <w:p w:rsidR="00723FEE" w:rsidRDefault="00723FEE" w:rsidP="00723FEE">
      <w:pPr>
        <w:ind w:left="900" w:right="-90"/>
        <w:rPr>
          <w:szCs w:val="22"/>
        </w:rPr>
      </w:pPr>
    </w:p>
    <w:p w:rsidR="00723FEE" w:rsidRDefault="00723FEE" w:rsidP="00723FEE">
      <w:pPr>
        <w:ind w:left="900" w:right="-90"/>
        <w:rPr>
          <w:szCs w:val="22"/>
        </w:rPr>
      </w:pPr>
      <w:r>
        <w:rPr>
          <w:szCs w:val="22"/>
        </w:rPr>
        <w:t>Make corrections from pre-final review and submit to the Regional Engineer for approval.  Once signed, send the BDE form 1201 and an informational copy of the report in PDF format to:  Bureau of Design &amp; Environment, Attn: “Current Bureau Chief” and circulate approved Original Project Report through the above final review personnel and place in the contract section file.  An additional paper copy of the Project Report should also be made for the R.E. file. Paper copies or electronic copies are acceptable for the Squad file and Personal file, if so desired. An electronic copy of the approved project report shall also be retained.</w:t>
      </w:r>
    </w:p>
    <w:p w:rsidR="00723FEE" w:rsidRDefault="00723FEE" w:rsidP="00723FEE">
      <w:pPr>
        <w:ind w:left="900" w:right="-90"/>
        <w:rPr>
          <w:szCs w:val="22"/>
        </w:rPr>
      </w:pPr>
    </w:p>
    <w:p w:rsidR="00723FEE" w:rsidRDefault="00723FEE" w:rsidP="00723FEE">
      <w:pPr>
        <w:ind w:left="180" w:firstLine="720"/>
        <w:rPr>
          <w:szCs w:val="22"/>
        </w:rPr>
      </w:pPr>
      <w:r>
        <w:rPr>
          <w:szCs w:val="22"/>
        </w:rPr>
        <w:t>10-07.doc</w:t>
      </w:r>
    </w:p>
    <w:p w:rsidR="00723FEE" w:rsidRDefault="00723FEE" w:rsidP="00DC1D49">
      <w:pPr>
        <w:ind w:left="907"/>
        <w:rPr>
          <w:b/>
          <w:sz w:val="24"/>
          <w:szCs w:val="24"/>
        </w:rPr>
      </w:pPr>
    </w:p>
    <w:p w:rsidR="003734E3" w:rsidRPr="00065D96" w:rsidRDefault="003734E3" w:rsidP="00D27383">
      <w:pPr>
        <w:ind w:left="907"/>
        <w:rPr>
          <w:szCs w:val="22"/>
        </w:rPr>
      </w:pPr>
    </w:p>
    <w:sectPr w:rsidR="003734E3" w:rsidRPr="00065D96" w:rsidSect="00C71B28">
      <w:type w:val="continuous"/>
      <w:pgSz w:w="12240" w:h="15840"/>
      <w:pgMar w:top="576" w:right="1800" w:bottom="576"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EB1"/>
    <w:multiLevelType w:val="hybridMultilevel"/>
    <w:tmpl w:val="ED2E9426"/>
    <w:lvl w:ilvl="0" w:tplc="E4FE92D2">
      <w:start w:val="21"/>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
    <w:nsid w:val="303654D7"/>
    <w:multiLevelType w:val="singleLevel"/>
    <w:tmpl w:val="1D048D62"/>
    <w:lvl w:ilvl="0">
      <w:start w:val="1"/>
      <w:numFmt w:val="decimal"/>
      <w:lvlText w:val="%1."/>
      <w:lvlJc w:val="left"/>
      <w:pPr>
        <w:tabs>
          <w:tab w:val="num" w:pos="1440"/>
        </w:tabs>
        <w:ind w:left="1440" w:hanging="540"/>
      </w:pPr>
      <w:rPr>
        <w:rFonts w:hint="default"/>
      </w:rPr>
    </w:lvl>
  </w:abstractNum>
  <w:abstractNum w:abstractNumId="2">
    <w:nsid w:val="5E6E79C1"/>
    <w:multiLevelType w:val="hybridMultilevel"/>
    <w:tmpl w:val="200CC010"/>
    <w:lvl w:ilvl="0" w:tplc="8316444A">
      <w:start w:val="21"/>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nsid w:val="626C25FC"/>
    <w:multiLevelType w:val="hybridMultilevel"/>
    <w:tmpl w:val="D1761EF0"/>
    <w:lvl w:ilvl="0" w:tplc="DD083940">
      <w:start w:val="21"/>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97"/>
    <w:rsid w:val="00065D96"/>
    <w:rsid w:val="000A560B"/>
    <w:rsid w:val="000F1254"/>
    <w:rsid w:val="00114993"/>
    <w:rsid w:val="001855FF"/>
    <w:rsid w:val="001A538E"/>
    <w:rsid w:val="001F7BC3"/>
    <w:rsid w:val="00203027"/>
    <w:rsid w:val="002333C8"/>
    <w:rsid w:val="00297ADF"/>
    <w:rsid w:val="002C4FA8"/>
    <w:rsid w:val="002E6FB1"/>
    <w:rsid w:val="00320860"/>
    <w:rsid w:val="003715FC"/>
    <w:rsid w:val="003734E3"/>
    <w:rsid w:val="003A2676"/>
    <w:rsid w:val="003C0997"/>
    <w:rsid w:val="003E3C13"/>
    <w:rsid w:val="003F12F4"/>
    <w:rsid w:val="003F419F"/>
    <w:rsid w:val="0042218F"/>
    <w:rsid w:val="00423154"/>
    <w:rsid w:val="00423AE5"/>
    <w:rsid w:val="004A6E88"/>
    <w:rsid w:val="004E22AA"/>
    <w:rsid w:val="00551EBB"/>
    <w:rsid w:val="005A66CA"/>
    <w:rsid w:val="005B245E"/>
    <w:rsid w:val="00603D0E"/>
    <w:rsid w:val="00624E3F"/>
    <w:rsid w:val="00653DF9"/>
    <w:rsid w:val="00721A39"/>
    <w:rsid w:val="00723FEE"/>
    <w:rsid w:val="00747729"/>
    <w:rsid w:val="0075012C"/>
    <w:rsid w:val="00762FEC"/>
    <w:rsid w:val="00766916"/>
    <w:rsid w:val="007767A5"/>
    <w:rsid w:val="00793D47"/>
    <w:rsid w:val="007D3EE3"/>
    <w:rsid w:val="00800D8F"/>
    <w:rsid w:val="00851BFF"/>
    <w:rsid w:val="008B41AA"/>
    <w:rsid w:val="009D48C0"/>
    <w:rsid w:val="00A142CF"/>
    <w:rsid w:val="00A57F99"/>
    <w:rsid w:val="00A85B3D"/>
    <w:rsid w:val="00AE242B"/>
    <w:rsid w:val="00B112DE"/>
    <w:rsid w:val="00B16BA1"/>
    <w:rsid w:val="00B23FCC"/>
    <w:rsid w:val="00B43C81"/>
    <w:rsid w:val="00BD1D35"/>
    <w:rsid w:val="00C21209"/>
    <w:rsid w:val="00C25831"/>
    <w:rsid w:val="00C41477"/>
    <w:rsid w:val="00C71B28"/>
    <w:rsid w:val="00CD2BBD"/>
    <w:rsid w:val="00D13322"/>
    <w:rsid w:val="00D27383"/>
    <w:rsid w:val="00DC1D49"/>
    <w:rsid w:val="00DE2564"/>
    <w:rsid w:val="00E111E5"/>
    <w:rsid w:val="00E30619"/>
    <w:rsid w:val="00E84691"/>
    <w:rsid w:val="00EE21D2"/>
    <w:rsid w:val="00FB3FE9"/>
    <w:rsid w:val="00FC5910"/>
    <w:rsid w:val="00FF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BA1"/>
    <w:rPr>
      <w:rFonts w:ascii="Tahoma" w:hAnsi="Tahoma" w:cs="Tahoma"/>
      <w:sz w:val="16"/>
      <w:szCs w:val="16"/>
    </w:rPr>
  </w:style>
  <w:style w:type="character" w:customStyle="1" w:styleId="BalloonTextChar">
    <w:name w:val="Balloon Text Char"/>
    <w:basedOn w:val="DefaultParagraphFont"/>
    <w:link w:val="BalloonText"/>
    <w:rsid w:val="00B16BA1"/>
    <w:rPr>
      <w:rFonts w:ascii="Tahoma" w:hAnsi="Tahoma" w:cs="Tahoma"/>
      <w:sz w:val="16"/>
      <w:szCs w:val="16"/>
    </w:rPr>
  </w:style>
  <w:style w:type="paragraph" w:styleId="ListParagraph">
    <w:name w:val="List Paragraph"/>
    <w:basedOn w:val="Normal"/>
    <w:uiPriority w:val="34"/>
    <w:qFormat/>
    <w:rsid w:val="00793D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BA1"/>
    <w:rPr>
      <w:rFonts w:ascii="Tahoma" w:hAnsi="Tahoma" w:cs="Tahoma"/>
      <w:sz w:val="16"/>
      <w:szCs w:val="16"/>
    </w:rPr>
  </w:style>
  <w:style w:type="character" w:customStyle="1" w:styleId="BalloonTextChar">
    <w:name w:val="Balloon Text Char"/>
    <w:basedOn w:val="DefaultParagraphFont"/>
    <w:link w:val="BalloonText"/>
    <w:rsid w:val="00B16BA1"/>
    <w:rPr>
      <w:rFonts w:ascii="Tahoma" w:hAnsi="Tahoma" w:cs="Tahoma"/>
      <w:sz w:val="16"/>
      <w:szCs w:val="16"/>
    </w:rPr>
  </w:style>
  <w:style w:type="paragraph" w:styleId="ListParagraph">
    <w:name w:val="List Paragraph"/>
    <w:basedOn w:val="Normal"/>
    <w:uiPriority w:val="34"/>
    <w:qFormat/>
    <w:rsid w:val="0079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377F-32A3-4A0E-B801-CF6EFD36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430EA99B.dotm</Template>
  <TotalTime>4</TotalTime>
  <Pages>1</Pages>
  <Words>237</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IDOT MEMO For a Two Line Subject/NO PASSWORD</vt:lpstr>
    </vt:vector>
  </TitlesOfParts>
  <Company>IDOT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Two Line Subject/NO PASSWORD</dc:title>
  <dc:creator>Eurnie D. Garver</dc:creator>
  <cp:lastModifiedBy>Neihart, Scott W</cp:lastModifiedBy>
  <cp:revision>4</cp:revision>
  <cp:lastPrinted>2014-09-09T17:57:00Z</cp:lastPrinted>
  <dcterms:created xsi:type="dcterms:W3CDTF">2016-06-30T13:32:00Z</dcterms:created>
  <dcterms:modified xsi:type="dcterms:W3CDTF">2016-07-27T15:49:00Z</dcterms:modified>
</cp:coreProperties>
</file>