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F5" w:rsidRDefault="00663DF5" w:rsidP="00EE5A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10B</w:t>
      </w:r>
    </w:p>
    <w:p w:rsidR="00663DF5" w:rsidRDefault="00663DF5" w:rsidP="00EE5A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D289F" w:rsidRPr="00663DF5" w:rsidRDefault="00AD289F" w:rsidP="00EE5AF6">
      <w:pPr>
        <w:pStyle w:val="Heading1"/>
        <w:jc w:val="both"/>
        <w:rPr>
          <w:rFonts w:ascii="Arial" w:hAnsi="Arial" w:cs="Arial"/>
          <w:color w:val="auto"/>
          <w:sz w:val="22"/>
          <w:szCs w:val="22"/>
        </w:rPr>
      </w:pPr>
      <w:r w:rsidRPr="00663DF5">
        <w:rPr>
          <w:rFonts w:ascii="Arial" w:hAnsi="Arial" w:cs="Arial"/>
          <w:color w:val="auto"/>
          <w:sz w:val="22"/>
          <w:szCs w:val="22"/>
        </w:rPr>
        <w:t xml:space="preserve">GRANULAR MATERIALS </w:t>
      </w:r>
    </w:p>
    <w:p w:rsidR="00AD289F" w:rsidRDefault="00663DF5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D289F">
        <w:rPr>
          <w:rFonts w:ascii="Arial" w:hAnsi="Arial" w:cs="Arial"/>
          <w:sz w:val="22"/>
          <w:szCs w:val="22"/>
        </w:rPr>
        <w:t>Effective:</w:t>
      </w:r>
      <w:r w:rsidR="00A13289">
        <w:rPr>
          <w:rFonts w:ascii="Arial" w:hAnsi="Arial" w:cs="Arial"/>
          <w:sz w:val="22"/>
          <w:szCs w:val="22"/>
        </w:rPr>
        <w:t xml:space="preserve"> </w:t>
      </w:r>
      <w:r w:rsidR="00192B27">
        <w:rPr>
          <w:rFonts w:ascii="Arial" w:hAnsi="Arial" w:cs="Arial"/>
          <w:sz w:val="22"/>
          <w:szCs w:val="22"/>
        </w:rPr>
        <w:t xml:space="preserve"> </w:t>
      </w:r>
      <w:r w:rsidR="004719C7">
        <w:rPr>
          <w:rFonts w:ascii="Arial" w:hAnsi="Arial" w:cs="Arial"/>
          <w:sz w:val="22"/>
          <w:szCs w:val="22"/>
        </w:rPr>
        <w:t>November 26</w:t>
      </w:r>
      <w:r w:rsidR="00192B27">
        <w:rPr>
          <w:rFonts w:ascii="Arial" w:hAnsi="Arial" w:cs="Arial"/>
          <w:sz w:val="22"/>
          <w:szCs w:val="22"/>
        </w:rPr>
        <w:t>, 2013</w:t>
      </w:r>
      <w:r>
        <w:rPr>
          <w:rFonts w:ascii="Arial" w:hAnsi="Arial" w:cs="Arial"/>
          <w:sz w:val="22"/>
          <w:szCs w:val="22"/>
        </w:rPr>
        <w:t>)</w:t>
      </w:r>
    </w:p>
    <w:p w:rsidR="003B12F8" w:rsidRDefault="003B12F8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Revise the title of Article 1003.04 of the Standard Specifications to read:</w:t>
      </w: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b/>
          <w:bCs/>
          <w:sz w:val="22"/>
          <w:szCs w:val="22"/>
        </w:rPr>
        <w:t>1003.04 Fine Aggregate for Bedding, Trench Backfill, Embankment, Porous Granular Backfill, Sand Backfill for Underdrains, and French Drains.</w:t>
      </w:r>
      <w:r>
        <w:rPr>
          <w:rFonts w:ascii="Arial" w:hAnsi="Arial" w:cs="Arial"/>
          <w:sz w:val="22"/>
          <w:szCs w:val="22"/>
        </w:rPr>
        <w:t>”</w:t>
      </w: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Revise Article 1003.04(c) of the Standard Specifications to read:</w:t>
      </w: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289F" w:rsidRDefault="003B12F8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AD289F">
        <w:rPr>
          <w:rFonts w:ascii="Arial" w:hAnsi="Arial" w:cs="Arial"/>
          <w:sz w:val="22"/>
          <w:szCs w:val="22"/>
        </w:rPr>
        <w:t>(c) Gradation. The fine aggregate gradations for granular embankment, granular backfill, bedding, and trench backfill for pipe culverts and storm sewers shall be FA 1, FA</w:t>
      </w:r>
      <w:r w:rsidR="00663DF5">
        <w:rPr>
          <w:rFonts w:ascii="Arial" w:hAnsi="Arial" w:cs="Arial"/>
          <w:sz w:val="22"/>
          <w:szCs w:val="22"/>
        </w:rPr>
        <w:t> </w:t>
      </w:r>
      <w:r w:rsidR="00AD289F">
        <w:rPr>
          <w:rFonts w:ascii="Arial" w:hAnsi="Arial" w:cs="Arial"/>
          <w:sz w:val="22"/>
          <w:szCs w:val="22"/>
        </w:rPr>
        <w:t>2, or FA 6 through FA 21.</w:t>
      </w: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fine aggregate gradation for porous granular embankment, porous granular backfill,</w:t>
      </w:r>
      <w:r w:rsidR="00663D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french</w:t>
      </w:r>
      <w:proofErr w:type="spellEnd"/>
      <w:r>
        <w:rPr>
          <w:rFonts w:ascii="Arial" w:hAnsi="Arial" w:cs="Arial"/>
          <w:sz w:val="22"/>
          <w:szCs w:val="22"/>
        </w:rPr>
        <w:t xml:space="preserve"> drains, and sand backfill for underdrains shall be FA 1, FA 2, or FA 20, except the</w:t>
      </w:r>
      <w:r w:rsidR="00663D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percent passing the No. 200 (75 μm) sieve shall be 2±2.”</w:t>
      </w: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Revise Article 1004.05(c) of the Standard Specifications to read:</w:t>
      </w: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“(c) Gradation. The coarse aggregate gradations shall be as follows.</w:t>
      </w: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AD289F" w:rsidTr="00AD289F">
        <w:tc>
          <w:tcPr>
            <w:tcW w:w="4428" w:type="dxa"/>
          </w:tcPr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</w:t>
            </w:r>
          </w:p>
        </w:tc>
        <w:tc>
          <w:tcPr>
            <w:tcW w:w="4428" w:type="dxa"/>
          </w:tcPr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Gradation</w:t>
            </w:r>
          </w:p>
        </w:tc>
      </w:tr>
      <w:tr w:rsidR="00AD289F" w:rsidTr="00AD289F">
        <w:tc>
          <w:tcPr>
            <w:tcW w:w="4428" w:type="dxa"/>
          </w:tcPr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Blotter</w:t>
            </w:r>
          </w:p>
        </w:tc>
        <w:tc>
          <w:tcPr>
            <w:tcW w:w="4428" w:type="dxa"/>
          </w:tcPr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 15</w:t>
            </w:r>
          </w:p>
        </w:tc>
      </w:tr>
      <w:tr w:rsidR="00AD289F" w:rsidTr="00AD289F">
        <w:tc>
          <w:tcPr>
            <w:tcW w:w="4428" w:type="dxa"/>
          </w:tcPr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Granular Embankment, Granular Backfill, and Bedding</w:t>
            </w:r>
          </w:p>
        </w:tc>
        <w:tc>
          <w:tcPr>
            <w:tcW w:w="4428" w:type="dxa"/>
          </w:tcPr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 6, CA 9, CA 10, CA 12, CA17, CA18,</w:t>
            </w:r>
          </w:p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CA 19</w:t>
            </w:r>
          </w:p>
        </w:tc>
      </w:tr>
      <w:tr w:rsidR="00AD289F" w:rsidTr="00AD289F">
        <w:tc>
          <w:tcPr>
            <w:tcW w:w="4428" w:type="dxa"/>
          </w:tcPr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Porous Granular Embankment, Porous</w:t>
            </w:r>
          </w:p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Granular Backfill, and French Drains</w:t>
            </w:r>
          </w:p>
        </w:tc>
        <w:tc>
          <w:tcPr>
            <w:tcW w:w="4428" w:type="dxa"/>
          </w:tcPr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 7, CA 8, CA 11, CA 15, CA 16 and</w:t>
            </w:r>
          </w:p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 18</w:t>
            </w:r>
          </w:p>
        </w:tc>
      </w:tr>
      <w:tr w:rsidR="00AD289F" w:rsidTr="00AD289F">
        <w:tc>
          <w:tcPr>
            <w:tcW w:w="4428" w:type="dxa"/>
          </w:tcPr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Trench Backfill</w:t>
            </w:r>
            <w:r w:rsidR="005A3043">
              <w:rPr>
                <w:rFonts w:ascii="Arial" w:hAnsi="Arial" w:cs="Arial"/>
                <w:sz w:val="22"/>
                <w:szCs w:val="22"/>
              </w:rPr>
              <w:t xml:space="preserve"> and Bedding</w:t>
            </w:r>
            <w:r>
              <w:rPr>
                <w:rFonts w:ascii="Arial" w:hAnsi="Arial" w:cs="Arial"/>
                <w:sz w:val="22"/>
                <w:szCs w:val="22"/>
              </w:rPr>
              <w:t xml:space="preserve"> for Pipe</w:t>
            </w:r>
          </w:p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Culverts and Storm Sewers</w:t>
            </w:r>
          </w:p>
        </w:tc>
        <w:tc>
          <w:tcPr>
            <w:tcW w:w="4428" w:type="dxa"/>
          </w:tcPr>
          <w:p w:rsidR="00AD289F" w:rsidRDefault="00AD289F" w:rsidP="00EE5A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 6, CA 7</w:t>
            </w:r>
            <w:r w:rsidRPr="00270891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, CA 9, CA 10, CA 11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1/</w:t>
            </w:r>
            <w:r>
              <w:rPr>
                <w:rFonts w:ascii="Arial" w:hAnsi="Arial" w:cs="Arial"/>
                <w:sz w:val="22"/>
                <w:szCs w:val="22"/>
              </w:rPr>
              <w:t>, CA 12, CA17, CA18, and CA 19</w:t>
            </w:r>
          </w:p>
        </w:tc>
      </w:tr>
    </w:tbl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12F8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ab/>
      </w:r>
      <w:r w:rsidR="003B12F8">
        <w:rPr>
          <w:rFonts w:ascii="Arial" w:hAnsi="Arial" w:cs="Arial"/>
          <w:sz w:val="22"/>
          <w:szCs w:val="22"/>
        </w:rPr>
        <w:t>For g</w:t>
      </w:r>
      <w:r w:rsidR="00270891">
        <w:rPr>
          <w:rFonts w:ascii="Arial" w:hAnsi="Arial" w:cs="Arial"/>
          <w:sz w:val="22"/>
          <w:szCs w:val="22"/>
        </w:rPr>
        <w:t>radation</w:t>
      </w:r>
      <w:r w:rsidR="003B12F8">
        <w:rPr>
          <w:rFonts w:ascii="Arial" w:hAnsi="Arial" w:cs="Arial"/>
          <w:sz w:val="22"/>
          <w:szCs w:val="22"/>
        </w:rPr>
        <w:t>s</w:t>
      </w:r>
      <w:r w:rsidR="00270891">
        <w:rPr>
          <w:rFonts w:ascii="Arial" w:hAnsi="Arial" w:cs="Arial"/>
          <w:sz w:val="22"/>
          <w:szCs w:val="22"/>
        </w:rPr>
        <w:t xml:space="preserve"> CA 7 or CA 11</w:t>
      </w:r>
      <w:r w:rsidR="00B4078C">
        <w:rPr>
          <w:rFonts w:ascii="Arial" w:hAnsi="Arial" w:cs="Arial"/>
          <w:sz w:val="22"/>
          <w:szCs w:val="22"/>
        </w:rPr>
        <w:t>,</w:t>
      </w:r>
      <w:r w:rsidR="00270891">
        <w:rPr>
          <w:rFonts w:ascii="Arial" w:hAnsi="Arial" w:cs="Arial"/>
          <w:sz w:val="22"/>
          <w:szCs w:val="22"/>
        </w:rPr>
        <w:t xml:space="preserve"> </w:t>
      </w:r>
      <w:r w:rsidR="003B12F8">
        <w:rPr>
          <w:rFonts w:ascii="Arial" w:hAnsi="Arial" w:cs="Arial"/>
          <w:sz w:val="22"/>
          <w:szCs w:val="22"/>
        </w:rPr>
        <w:t>lifts may exceed 8</w:t>
      </w:r>
      <w:r w:rsidR="006029F6">
        <w:rPr>
          <w:rFonts w:ascii="Arial" w:hAnsi="Arial" w:cs="Arial"/>
          <w:sz w:val="22"/>
          <w:szCs w:val="22"/>
        </w:rPr>
        <w:t xml:space="preserve"> </w:t>
      </w:r>
      <w:r w:rsidR="003B12F8">
        <w:rPr>
          <w:rFonts w:ascii="Arial" w:hAnsi="Arial" w:cs="Arial"/>
          <w:sz w:val="22"/>
          <w:szCs w:val="22"/>
        </w:rPr>
        <w:t>in. (200mm) in depth provided</w:t>
      </w:r>
    </w:p>
    <w:p w:rsidR="00AD289F" w:rsidRDefault="003B12F8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material is</w:t>
      </w:r>
      <w:r w:rsidR="00270891">
        <w:rPr>
          <w:rFonts w:ascii="Arial" w:hAnsi="Arial" w:cs="Arial"/>
          <w:sz w:val="22"/>
          <w:szCs w:val="22"/>
        </w:rPr>
        <w:t xml:space="preserve"> seated to the satisfaction of the Engineer.</w:t>
      </w: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D289F" w:rsidRPr="005A3043" w:rsidRDefault="005A3043" w:rsidP="00EE5AF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A3043">
        <w:rPr>
          <w:rFonts w:ascii="Arial" w:hAnsi="Arial" w:cs="Arial"/>
          <w:b/>
          <w:sz w:val="22"/>
          <w:szCs w:val="22"/>
        </w:rPr>
        <w:t>Designer Note:</w:t>
      </w:r>
    </w:p>
    <w:p w:rsidR="005A3043" w:rsidRDefault="005A3043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A3043" w:rsidRDefault="005A3043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Replace the BDE special provision GRANULAR MATERIALS on projects where Trench Backfill is required.</w:t>
      </w:r>
    </w:p>
    <w:p w:rsidR="00AD289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AD289F" w:rsidSect="008E2D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D289F"/>
    <w:rsid w:val="00041C3E"/>
    <w:rsid w:val="000B0FAD"/>
    <w:rsid w:val="00192B27"/>
    <w:rsid w:val="00270891"/>
    <w:rsid w:val="00366CD1"/>
    <w:rsid w:val="003B12F8"/>
    <w:rsid w:val="004719C7"/>
    <w:rsid w:val="004A1A97"/>
    <w:rsid w:val="005A3043"/>
    <w:rsid w:val="005A3CCF"/>
    <w:rsid w:val="005A52B5"/>
    <w:rsid w:val="006029F6"/>
    <w:rsid w:val="00663DF5"/>
    <w:rsid w:val="007A3842"/>
    <w:rsid w:val="007E45AE"/>
    <w:rsid w:val="0087021D"/>
    <w:rsid w:val="008E2D2C"/>
    <w:rsid w:val="009A3689"/>
    <w:rsid w:val="00A13289"/>
    <w:rsid w:val="00AD289F"/>
    <w:rsid w:val="00B4078C"/>
    <w:rsid w:val="00C12DBA"/>
    <w:rsid w:val="00D9119B"/>
    <w:rsid w:val="00E823BE"/>
    <w:rsid w:val="00EE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D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63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192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Sell, Nathan R</dc:creator>
  <cp:lastModifiedBy>wasilewskilm</cp:lastModifiedBy>
  <cp:revision>3</cp:revision>
  <cp:lastPrinted>2013-11-26T19:21:00Z</cp:lastPrinted>
  <dcterms:created xsi:type="dcterms:W3CDTF">2013-11-26T20:26:00Z</dcterms:created>
  <dcterms:modified xsi:type="dcterms:W3CDTF">2013-11-26T20:39:00Z</dcterms:modified>
</cp:coreProperties>
</file>