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9F7" w:rsidRDefault="002839F7" w:rsidP="002839F7">
      <w:pPr>
        <w:tabs>
          <w:tab w:val="left" w:pos="1152"/>
        </w:tabs>
        <w:spacing w:before="120" w:line="324" w:lineRule="auto"/>
      </w:pPr>
      <w:bookmarkStart w:id="0" w:name="_GoBack"/>
      <w:bookmarkEnd w:id="0"/>
      <w:r>
        <w:tab/>
      </w:r>
      <w:r w:rsidR="00436B80">
        <w:t>Regional</w:t>
      </w:r>
      <w:r>
        <w:t xml:space="preserve"> Engineers</w:t>
      </w:r>
    </w:p>
    <w:p w:rsidR="002839F7" w:rsidRDefault="002839F7" w:rsidP="002952B0">
      <w:pPr>
        <w:tabs>
          <w:tab w:val="left" w:pos="1152"/>
        </w:tabs>
        <w:spacing w:before="120" w:line="324" w:lineRule="auto"/>
      </w:pPr>
      <w:r>
        <w:tab/>
      </w:r>
      <w:r w:rsidR="00F240B6">
        <w:rPr>
          <w:rFonts w:cs="Arial"/>
          <w:szCs w:val="22"/>
        </w:rPr>
        <w:t>Jack A. Elston</w:t>
      </w:r>
    </w:p>
    <w:p w:rsidR="002839F7" w:rsidRDefault="002839F7" w:rsidP="001A1FAB">
      <w:pPr>
        <w:tabs>
          <w:tab w:val="left" w:pos="1152"/>
        </w:tabs>
        <w:spacing w:before="120" w:line="324" w:lineRule="auto"/>
        <w:ind w:left="1166" w:hanging="1166"/>
      </w:pPr>
      <w:r>
        <w:tab/>
        <w:t xml:space="preserve">Special Provision for </w:t>
      </w:r>
      <w:r w:rsidR="00855587">
        <w:t>Subcontractor and DBE Payment Reporting</w:t>
      </w:r>
    </w:p>
    <w:p w:rsidR="002839F7" w:rsidRDefault="002839F7" w:rsidP="002839F7">
      <w:pPr>
        <w:tabs>
          <w:tab w:val="left" w:pos="1152"/>
        </w:tabs>
        <w:spacing w:before="120" w:line="324" w:lineRule="auto"/>
      </w:pPr>
      <w:r>
        <w:tab/>
      </w:r>
      <w:r w:rsidR="000826A3">
        <w:t>April 20, 2018</w:t>
      </w:r>
    </w:p>
    <w:p w:rsidR="002839F7" w:rsidRDefault="002839F7" w:rsidP="002839F7">
      <w:pPr>
        <w:jc w:val="both"/>
      </w:pPr>
    </w:p>
    <w:p w:rsidR="002839F7" w:rsidRDefault="002839F7" w:rsidP="002839F7">
      <w:pPr>
        <w:jc w:val="both"/>
      </w:pPr>
    </w:p>
    <w:p w:rsidR="002839F7" w:rsidRDefault="002839F7" w:rsidP="002839F7">
      <w:pPr>
        <w:jc w:val="both"/>
      </w:pPr>
    </w:p>
    <w:p w:rsidR="006D6983" w:rsidRDefault="00254AE7" w:rsidP="00E63388">
      <w:r>
        <w:t xml:space="preserve">This special provision was developed by the Bureau of </w:t>
      </w:r>
      <w:r w:rsidR="00855587">
        <w:t xml:space="preserve">Construction and the Bureau of Small Business Enterprises </w:t>
      </w:r>
      <w:r w:rsidR="00051CC0">
        <w:t xml:space="preserve">to </w:t>
      </w:r>
      <w:r w:rsidR="00AE2C82">
        <w:t>comply with the DBE program federal regulation 49 CFR 26.37, which requires that a running tally be maintained of payments made to DBE firms.  This special provision also ensures compliance with 49 CFR Part 26.29, which requires federal funding recipients to monitor and enforce prompt payment to subcontractors.</w:t>
      </w:r>
    </w:p>
    <w:p w:rsidR="006D6983" w:rsidRDefault="006D6983" w:rsidP="00E63388"/>
    <w:p w:rsidR="00FE63A2" w:rsidRDefault="00FE63A2" w:rsidP="00FE63A2">
      <w:r w:rsidRPr="005902D0">
        <w:rPr>
          <w:szCs w:val="22"/>
        </w:rPr>
        <w:t>This</w:t>
      </w:r>
      <w:r>
        <w:t xml:space="preserve"> special provision should be inserted into all contracts.</w:t>
      </w:r>
    </w:p>
    <w:p w:rsidR="00F85B22" w:rsidRDefault="00F85B22" w:rsidP="00E63388"/>
    <w:p w:rsidR="002839F7" w:rsidRDefault="002839F7" w:rsidP="00E63388">
      <w:r>
        <w:t xml:space="preserve">The districts should include the BDE Check Sheet marked with the applicable special provisions for the </w:t>
      </w:r>
      <w:r w:rsidR="000826A3">
        <w:t>August 3, 2018</w:t>
      </w:r>
      <w:r w:rsidR="00474465">
        <w:t xml:space="preserve"> </w:t>
      </w:r>
      <w:r>
        <w:t xml:space="preserve">and subsequent lettings.  The Project </w:t>
      </w:r>
      <w:r w:rsidR="006A5307">
        <w:t>Coordination</w:t>
      </w:r>
      <w:r>
        <w:t xml:space="preserve"> and Implementation Section will include </w:t>
      </w:r>
      <w:r w:rsidR="00436B80">
        <w:t>a</w:t>
      </w:r>
      <w:r>
        <w:t xml:space="preserve"> copy in the contract.</w:t>
      </w:r>
    </w:p>
    <w:p w:rsidR="002839F7" w:rsidRDefault="002839F7" w:rsidP="00E63388"/>
    <w:p w:rsidR="002839F7" w:rsidRDefault="002839F7" w:rsidP="00E63388">
      <w:r>
        <w:t xml:space="preserve">This special provision will be available on the transfer directory </w:t>
      </w:r>
      <w:r w:rsidR="000826A3">
        <w:t>April 20, 2018</w:t>
      </w:r>
      <w:r>
        <w:t>.</w:t>
      </w:r>
    </w:p>
    <w:p w:rsidR="002839F7" w:rsidRDefault="002839F7" w:rsidP="002839F7">
      <w:pPr>
        <w:jc w:val="both"/>
      </w:pPr>
    </w:p>
    <w:p w:rsidR="002839F7" w:rsidRDefault="002839F7" w:rsidP="002839F7">
      <w:pPr>
        <w:jc w:val="both"/>
      </w:pPr>
    </w:p>
    <w:p w:rsidR="002839F7" w:rsidRDefault="002839F7" w:rsidP="002839F7">
      <w:pPr>
        <w:jc w:val="both"/>
      </w:pPr>
      <w:r>
        <w:t>80</w:t>
      </w:r>
      <w:r w:rsidR="00012699">
        <w:t>3</w:t>
      </w:r>
      <w:r w:rsidR="003C563B">
        <w:t>9</w:t>
      </w:r>
      <w:r w:rsidR="000826A3">
        <w:t>7</w:t>
      </w:r>
      <w:r>
        <w:t>m</w:t>
      </w:r>
    </w:p>
    <w:p w:rsidR="002839F7" w:rsidRPr="002839F7" w:rsidRDefault="002839F7" w:rsidP="002839F7"/>
    <w:p w:rsidR="002839F7" w:rsidRDefault="002839F7" w:rsidP="002839F7"/>
    <w:p w:rsidR="002839F7" w:rsidRPr="002839F7" w:rsidRDefault="002839F7" w:rsidP="002839F7">
      <w:pPr>
        <w:sectPr w:rsidR="002839F7" w:rsidRPr="002839F7" w:rsidSect="002839F7">
          <w:pgSz w:w="12240" w:h="15840" w:code="1"/>
          <w:pgMar w:top="2592" w:right="1800" w:bottom="720" w:left="2736" w:header="720" w:footer="720" w:gutter="0"/>
          <w:cols w:space="720"/>
        </w:sectPr>
      </w:pPr>
    </w:p>
    <w:p w:rsidR="00855587" w:rsidRPr="00006E5F" w:rsidRDefault="00855587" w:rsidP="00855587">
      <w:pPr>
        <w:pStyle w:val="Heading1"/>
        <w:jc w:val="both"/>
      </w:pPr>
      <w:r>
        <w:lastRenderedPageBreak/>
        <w:t>SUBCONTRACTOR AND DBE PAYMENT REPORTING (BDE)</w:t>
      </w:r>
    </w:p>
    <w:p w:rsidR="00855587" w:rsidRPr="006C4933" w:rsidRDefault="00855587" w:rsidP="00855587">
      <w:pPr>
        <w:jc w:val="both"/>
        <w:rPr>
          <w:rFonts w:cs="Arial"/>
          <w:szCs w:val="22"/>
        </w:rPr>
      </w:pPr>
    </w:p>
    <w:p w:rsidR="00855587" w:rsidRPr="006C4933" w:rsidRDefault="00855587" w:rsidP="00855587">
      <w:pPr>
        <w:rPr>
          <w:rFonts w:cs="Arial"/>
          <w:szCs w:val="22"/>
        </w:rPr>
      </w:pPr>
      <w:r w:rsidRPr="006C4933">
        <w:rPr>
          <w:rFonts w:cs="Arial"/>
          <w:szCs w:val="22"/>
        </w:rPr>
        <w:t xml:space="preserve">Effective:  </w:t>
      </w:r>
      <w:r>
        <w:rPr>
          <w:rFonts w:cs="Arial"/>
          <w:szCs w:val="22"/>
        </w:rPr>
        <w:t>April 2, 2018</w:t>
      </w:r>
    </w:p>
    <w:p w:rsidR="00855587" w:rsidRDefault="00855587" w:rsidP="00855587">
      <w:pPr>
        <w:jc w:val="both"/>
        <w:rPr>
          <w:rFonts w:cs="Arial"/>
          <w:szCs w:val="22"/>
        </w:rPr>
      </w:pPr>
    </w:p>
    <w:p w:rsidR="00855587" w:rsidRPr="006C4933" w:rsidRDefault="00855587" w:rsidP="00855587">
      <w:pPr>
        <w:jc w:val="both"/>
        <w:rPr>
          <w:rFonts w:cs="Arial"/>
          <w:szCs w:val="22"/>
        </w:rPr>
      </w:pPr>
      <w:r>
        <w:rPr>
          <w:rFonts w:cs="Arial"/>
          <w:szCs w:val="22"/>
        </w:rPr>
        <w:t xml:space="preserve">Add the following to Section </w:t>
      </w:r>
      <w:r w:rsidRPr="006C4933">
        <w:rPr>
          <w:rFonts w:cs="Arial"/>
          <w:szCs w:val="22"/>
        </w:rPr>
        <w:t>109</w:t>
      </w:r>
      <w:r>
        <w:rPr>
          <w:rFonts w:cs="Arial"/>
          <w:szCs w:val="22"/>
        </w:rPr>
        <w:t xml:space="preserve"> of the Standard Specifications.</w:t>
      </w:r>
    </w:p>
    <w:p w:rsidR="00855587" w:rsidRPr="006C4933" w:rsidRDefault="00855587" w:rsidP="00855587">
      <w:pPr>
        <w:jc w:val="both"/>
        <w:rPr>
          <w:rFonts w:cs="Arial"/>
          <w:szCs w:val="22"/>
        </w:rPr>
      </w:pPr>
    </w:p>
    <w:p w:rsidR="00855587" w:rsidRDefault="00855587" w:rsidP="00855587">
      <w:pPr>
        <w:tabs>
          <w:tab w:val="left" w:pos="360"/>
          <w:tab w:val="left" w:pos="1170"/>
        </w:tabs>
        <w:ind w:firstLine="270"/>
        <w:jc w:val="both"/>
        <w:rPr>
          <w:rFonts w:cs="Arial"/>
          <w:szCs w:val="22"/>
        </w:rPr>
      </w:pPr>
      <w:r>
        <w:rPr>
          <w:rFonts w:cs="Arial"/>
          <w:szCs w:val="22"/>
        </w:rPr>
        <w:t>“</w:t>
      </w:r>
      <w:r>
        <w:rPr>
          <w:rFonts w:cs="Arial"/>
          <w:szCs w:val="22"/>
        </w:rPr>
        <w:tab/>
      </w:r>
      <w:r w:rsidRPr="006C4933">
        <w:rPr>
          <w:rFonts w:cs="Arial"/>
          <w:b/>
          <w:szCs w:val="22"/>
        </w:rPr>
        <w:t>109.1</w:t>
      </w:r>
      <w:r>
        <w:rPr>
          <w:rFonts w:cs="Arial"/>
          <w:b/>
          <w:szCs w:val="22"/>
        </w:rPr>
        <w:t>4</w:t>
      </w:r>
      <w:r w:rsidRPr="006C4933">
        <w:rPr>
          <w:rFonts w:cs="Arial"/>
          <w:b/>
          <w:szCs w:val="22"/>
        </w:rPr>
        <w:tab/>
      </w:r>
      <w:r>
        <w:rPr>
          <w:rFonts w:cs="Arial"/>
          <w:b/>
          <w:szCs w:val="22"/>
        </w:rPr>
        <w:t xml:space="preserve">Subcontractor and Disadvantaged Business Enterprise </w:t>
      </w:r>
      <w:r w:rsidRPr="006C4933">
        <w:rPr>
          <w:rFonts w:cs="Arial"/>
          <w:b/>
          <w:szCs w:val="22"/>
        </w:rPr>
        <w:t xml:space="preserve">Payment </w:t>
      </w:r>
      <w:r>
        <w:rPr>
          <w:rFonts w:cs="Arial"/>
          <w:b/>
          <w:szCs w:val="22"/>
        </w:rPr>
        <w:t>Reporting</w:t>
      </w:r>
      <w:r w:rsidRPr="006C4933">
        <w:rPr>
          <w:rFonts w:cs="Arial"/>
          <w:b/>
          <w:szCs w:val="22"/>
        </w:rPr>
        <w:t>.</w:t>
      </w:r>
      <w:r w:rsidRPr="006C4933">
        <w:rPr>
          <w:rFonts w:cs="Arial"/>
          <w:szCs w:val="22"/>
        </w:rPr>
        <w:t xml:space="preserve">  </w:t>
      </w:r>
      <w:r>
        <w:rPr>
          <w:rFonts w:cs="Arial"/>
          <w:szCs w:val="22"/>
        </w:rPr>
        <w:t>The Contractor shall report all payments made to the following parties:</w:t>
      </w:r>
    </w:p>
    <w:p w:rsidR="00855587" w:rsidRDefault="00855587" w:rsidP="00855587">
      <w:pPr>
        <w:ind w:firstLine="360"/>
        <w:jc w:val="both"/>
        <w:rPr>
          <w:rFonts w:cs="Arial"/>
          <w:szCs w:val="22"/>
        </w:rPr>
      </w:pPr>
    </w:p>
    <w:p w:rsidR="00855587" w:rsidRPr="00EF45C0" w:rsidRDefault="00855587" w:rsidP="00855587">
      <w:pPr>
        <w:ind w:left="720" w:hanging="360"/>
        <w:jc w:val="both"/>
        <w:rPr>
          <w:rFonts w:cs="Arial"/>
          <w:snapToGrid w:val="0"/>
          <w:szCs w:val="22"/>
        </w:rPr>
      </w:pPr>
      <w:r>
        <w:rPr>
          <w:rFonts w:cs="Arial"/>
          <w:szCs w:val="22"/>
        </w:rPr>
        <w:t>(a)</w:t>
      </w:r>
      <w:r>
        <w:rPr>
          <w:rFonts w:cs="Arial"/>
          <w:szCs w:val="22"/>
        </w:rPr>
        <w:tab/>
        <w:t>first tier subcontractors;</w:t>
      </w:r>
    </w:p>
    <w:p w:rsidR="00855587" w:rsidRPr="00CD6FD8" w:rsidRDefault="00855587" w:rsidP="00855587">
      <w:pPr>
        <w:ind w:left="720"/>
        <w:jc w:val="both"/>
        <w:rPr>
          <w:rFonts w:cs="Arial"/>
          <w:snapToGrid w:val="0"/>
          <w:szCs w:val="22"/>
        </w:rPr>
      </w:pPr>
    </w:p>
    <w:p w:rsidR="00855587" w:rsidRDefault="00855587" w:rsidP="00855587">
      <w:pPr>
        <w:ind w:left="720" w:hanging="360"/>
        <w:jc w:val="both"/>
        <w:rPr>
          <w:rFonts w:cs="Arial"/>
          <w:szCs w:val="22"/>
        </w:rPr>
      </w:pPr>
      <w:r>
        <w:rPr>
          <w:rFonts w:cs="Arial"/>
          <w:szCs w:val="22"/>
        </w:rPr>
        <w:t>(b)</w:t>
      </w:r>
      <w:r>
        <w:rPr>
          <w:rFonts w:cs="Arial"/>
          <w:szCs w:val="22"/>
        </w:rPr>
        <w:tab/>
        <w:t>lower tier subcontractors affecting disadvantaged business enterprise (DBE) goal credit;</w:t>
      </w:r>
    </w:p>
    <w:p w:rsidR="00855587" w:rsidRDefault="00855587" w:rsidP="00855587">
      <w:pPr>
        <w:ind w:left="720"/>
        <w:jc w:val="both"/>
        <w:rPr>
          <w:rFonts w:cs="Arial"/>
          <w:szCs w:val="22"/>
        </w:rPr>
      </w:pPr>
    </w:p>
    <w:p w:rsidR="00855587" w:rsidRDefault="00855587" w:rsidP="00855587">
      <w:pPr>
        <w:ind w:left="720" w:hanging="360"/>
        <w:jc w:val="both"/>
        <w:rPr>
          <w:rFonts w:cs="Arial"/>
          <w:szCs w:val="22"/>
        </w:rPr>
      </w:pPr>
      <w:r>
        <w:rPr>
          <w:rFonts w:cs="Arial"/>
          <w:szCs w:val="22"/>
        </w:rPr>
        <w:t>(c)</w:t>
      </w:r>
      <w:r>
        <w:rPr>
          <w:rFonts w:cs="Arial"/>
          <w:szCs w:val="22"/>
        </w:rPr>
        <w:tab/>
      </w:r>
      <w:r w:rsidRPr="00515F26">
        <w:rPr>
          <w:rFonts w:cs="Arial"/>
          <w:szCs w:val="22"/>
        </w:rPr>
        <w:t xml:space="preserve">material suppliers </w:t>
      </w:r>
      <w:r>
        <w:rPr>
          <w:rFonts w:cs="Arial"/>
          <w:szCs w:val="22"/>
        </w:rPr>
        <w:t>or</w:t>
      </w:r>
      <w:r w:rsidRPr="00515F26">
        <w:rPr>
          <w:rFonts w:cs="Arial"/>
          <w:szCs w:val="22"/>
        </w:rPr>
        <w:t xml:space="preserve"> truck</w:t>
      </w:r>
      <w:r>
        <w:rPr>
          <w:rFonts w:cs="Arial"/>
          <w:szCs w:val="22"/>
        </w:rPr>
        <w:t>ing firms that are part of the C</w:t>
      </w:r>
      <w:r w:rsidRPr="00515F26">
        <w:rPr>
          <w:rFonts w:cs="Arial"/>
          <w:szCs w:val="22"/>
        </w:rPr>
        <w:t>ontractor’s submitted DBE utilization plan</w:t>
      </w:r>
      <w:r>
        <w:rPr>
          <w:rFonts w:cs="Arial"/>
          <w:szCs w:val="22"/>
        </w:rPr>
        <w:t>.</w:t>
      </w:r>
    </w:p>
    <w:p w:rsidR="00855587" w:rsidRDefault="00855587" w:rsidP="00855587">
      <w:pPr>
        <w:ind w:left="360"/>
        <w:jc w:val="both"/>
        <w:rPr>
          <w:rFonts w:cs="Arial"/>
          <w:szCs w:val="22"/>
        </w:rPr>
      </w:pPr>
    </w:p>
    <w:p w:rsidR="00855587" w:rsidRPr="006C4933" w:rsidRDefault="00855587" w:rsidP="00855587">
      <w:pPr>
        <w:ind w:firstLine="360"/>
        <w:jc w:val="both"/>
        <w:rPr>
          <w:rFonts w:cs="Arial"/>
          <w:snapToGrid w:val="0"/>
          <w:szCs w:val="22"/>
        </w:rPr>
      </w:pPr>
      <w:r>
        <w:rPr>
          <w:rFonts w:cs="Arial"/>
          <w:szCs w:val="22"/>
        </w:rPr>
        <w:t>The report shall be made through the Department’s on-line subcontractor payment reporting system within 21 days of making the payment.</w:t>
      </w:r>
      <w:r>
        <w:rPr>
          <w:rFonts w:cs="Arial"/>
          <w:snapToGrid w:val="0"/>
          <w:szCs w:val="22"/>
        </w:rPr>
        <w:t>”</w:t>
      </w:r>
    </w:p>
    <w:p w:rsidR="00855587" w:rsidRDefault="00855587" w:rsidP="00855587">
      <w:pPr>
        <w:jc w:val="both"/>
        <w:rPr>
          <w:szCs w:val="22"/>
        </w:rPr>
      </w:pPr>
    </w:p>
    <w:p w:rsidR="00855587" w:rsidRDefault="00855587" w:rsidP="00855587">
      <w:pPr>
        <w:jc w:val="both"/>
        <w:rPr>
          <w:szCs w:val="22"/>
        </w:rPr>
      </w:pPr>
    </w:p>
    <w:p w:rsidR="00B81C7F" w:rsidRPr="00764062" w:rsidRDefault="00B81C7F" w:rsidP="008E35AD">
      <w:pPr>
        <w:jc w:val="both"/>
        <w:rPr>
          <w:rFonts w:cs="Arial"/>
          <w:szCs w:val="22"/>
        </w:rPr>
      </w:pPr>
      <w:r w:rsidRPr="00764062">
        <w:rPr>
          <w:rFonts w:cs="Arial"/>
          <w:szCs w:val="22"/>
        </w:rPr>
        <w:t>80</w:t>
      </w:r>
      <w:r w:rsidR="00012699" w:rsidRPr="00764062">
        <w:rPr>
          <w:rFonts w:cs="Arial"/>
          <w:szCs w:val="22"/>
        </w:rPr>
        <w:t>3</w:t>
      </w:r>
      <w:r w:rsidR="003C563B">
        <w:rPr>
          <w:rFonts w:cs="Arial"/>
          <w:szCs w:val="22"/>
        </w:rPr>
        <w:t>9</w:t>
      </w:r>
      <w:r w:rsidR="00855587">
        <w:rPr>
          <w:rFonts w:cs="Arial"/>
          <w:szCs w:val="22"/>
        </w:rPr>
        <w:t>7</w:t>
      </w:r>
    </w:p>
    <w:sectPr w:rsidR="00B81C7F" w:rsidRPr="00764062" w:rsidSect="00C97F38">
      <w:headerReference w:type="even" r:id="rId8"/>
      <w:footerReference w:type="even" r:id="rId9"/>
      <w:footerReference w:type="default" r:id="rId10"/>
      <w:headerReference w:type="first" r:id="rId11"/>
      <w:footerReference w:type="first" r:id="rId12"/>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968" w:rsidRDefault="00955968">
      <w:r>
        <w:separator/>
      </w:r>
    </w:p>
  </w:endnote>
  <w:endnote w:type="continuationSeparator" w:id="0">
    <w:p w:rsidR="00955968" w:rsidRDefault="0095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AB" w:rsidRDefault="001A1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AB" w:rsidRDefault="001A1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AB" w:rsidRDefault="001A1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968" w:rsidRDefault="00955968">
      <w:r>
        <w:separator/>
      </w:r>
    </w:p>
  </w:footnote>
  <w:footnote w:type="continuationSeparator" w:id="0">
    <w:p w:rsidR="00955968" w:rsidRDefault="00955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AB" w:rsidRDefault="001A1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AB" w:rsidRDefault="001A1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F73"/>
    <w:rsid w:val="00004146"/>
    <w:rsid w:val="00005777"/>
    <w:rsid w:val="0000601B"/>
    <w:rsid w:val="000068CE"/>
    <w:rsid w:val="00006976"/>
    <w:rsid w:val="00011902"/>
    <w:rsid w:val="00012699"/>
    <w:rsid w:val="000166FD"/>
    <w:rsid w:val="00022791"/>
    <w:rsid w:val="000232A2"/>
    <w:rsid w:val="000246FB"/>
    <w:rsid w:val="00035F07"/>
    <w:rsid w:val="000360A5"/>
    <w:rsid w:val="00043028"/>
    <w:rsid w:val="0004779D"/>
    <w:rsid w:val="00051CC0"/>
    <w:rsid w:val="00054106"/>
    <w:rsid w:val="00055F5B"/>
    <w:rsid w:val="0006081D"/>
    <w:rsid w:val="0006185A"/>
    <w:rsid w:val="00064DAA"/>
    <w:rsid w:val="00073324"/>
    <w:rsid w:val="00076A6D"/>
    <w:rsid w:val="000826A3"/>
    <w:rsid w:val="00083903"/>
    <w:rsid w:val="00084127"/>
    <w:rsid w:val="00084DC0"/>
    <w:rsid w:val="0008689E"/>
    <w:rsid w:val="00092BFC"/>
    <w:rsid w:val="00093E4F"/>
    <w:rsid w:val="00096C74"/>
    <w:rsid w:val="00097A75"/>
    <w:rsid w:val="000A18C0"/>
    <w:rsid w:val="000A2F48"/>
    <w:rsid w:val="000A399D"/>
    <w:rsid w:val="000A4466"/>
    <w:rsid w:val="000A6088"/>
    <w:rsid w:val="000B6C3D"/>
    <w:rsid w:val="000B6FAB"/>
    <w:rsid w:val="000C0C1B"/>
    <w:rsid w:val="000C235C"/>
    <w:rsid w:val="000C4BF6"/>
    <w:rsid w:val="000D1C87"/>
    <w:rsid w:val="000D3643"/>
    <w:rsid w:val="000D589D"/>
    <w:rsid w:val="000D5F65"/>
    <w:rsid w:val="000E27D6"/>
    <w:rsid w:val="000E3653"/>
    <w:rsid w:val="000E4D1B"/>
    <w:rsid w:val="000E6B3A"/>
    <w:rsid w:val="000E711B"/>
    <w:rsid w:val="000F61FA"/>
    <w:rsid w:val="00103E09"/>
    <w:rsid w:val="0011121B"/>
    <w:rsid w:val="001131FB"/>
    <w:rsid w:val="00122C42"/>
    <w:rsid w:val="00123BB4"/>
    <w:rsid w:val="00130D75"/>
    <w:rsid w:val="0013203E"/>
    <w:rsid w:val="00132DBA"/>
    <w:rsid w:val="00151015"/>
    <w:rsid w:val="001534AC"/>
    <w:rsid w:val="00153A74"/>
    <w:rsid w:val="00157A4D"/>
    <w:rsid w:val="00172E58"/>
    <w:rsid w:val="0017412C"/>
    <w:rsid w:val="00180E4D"/>
    <w:rsid w:val="001819EE"/>
    <w:rsid w:val="001839C1"/>
    <w:rsid w:val="001858BD"/>
    <w:rsid w:val="00187260"/>
    <w:rsid w:val="00190994"/>
    <w:rsid w:val="00192C07"/>
    <w:rsid w:val="00194CB6"/>
    <w:rsid w:val="001A1FAB"/>
    <w:rsid w:val="001A3782"/>
    <w:rsid w:val="001A3A9E"/>
    <w:rsid w:val="001A56EC"/>
    <w:rsid w:val="001A6205"/>
    <w:rsid w:val="001B0F9A"/>
    <w:rsid w:val="001B3759"/>
    <w:rsid w:val="001B6516"/>
    <w:rsid w:val="001C009A"/>
    <w:rsid w:val="001C177C"/>
    <w:rsid w:val="001C231D"/>
    <w:rsid w:val="001C6D3B"/>
    <w:rsid w:val="001D09A2"/>
    <w:rsid w:val="001D398A"/>
    <w:rsid w:val="001D401F"/>
    <w:rsid w:val="001E0099"/>
    <w:rsid w:val="001E617D"/>
    <w:rsid w:val="001F0181"/>
    <w:rsid w:val="001F13C9"/>
    <w:rsid w:val="001F176A"/>
    <w:rsid w:val="001F3F95"/>
    <w:rsid w:val="001F5E84"/>
    <w:rsid w:val="001F655C"/>
    <w:rsid w:val="00201A0D"/>
    <w:rsid w:val="00204208"/>
    <w:rsid w:val="002066CE"/>
    <w:rsid w:val="0021216B"/>
    <w:rsid w:val="00215BF0"/>
    <w:rsid w:val="002210EA"/>
    <w:rsid w:val="0022141B"/>
    <w:rsid w:val="00222889"/>
    <w:rsid w:val="002252E7"/>
    <w:rsid w:val="00237DFE"/>
    <w:rsid w:val="00240778"/>
    <w:rsid w:val="00245AB6"/>
    <w:rsid w:val="00250CA3"/>
    <w:rsid w:val="00252E71"/>
    <w:rsid w:val="00254AE7"/>
    <w:rsid w:val="00255AD9"/>
    <w:rsid w:val="00257AC5"/>
    <w:rsid w:val="00261480"/>
    <w:rsid w:val="0026314D"/>
    <w:rsid w:val="002701F8"/>
    <w:rsid w:val="0027345A"/>
    <w:rsid w:val="00275451"/>
    <w:rsid w:val="00276406"/>
    <w:rsid w:val="0028335A"/>
    <w:rsid w:val="002839F7"/>
    <w:rsid w:val="0028757E"/>
    <w:rsid w:val="00294FD3"/>
    <w:rsid w:val="002952B0"/>
    <w:rsid w:val="002A2DBB"/>
    <w:rsid w:val="002A30A1"/>
    <w:rsid w:val="002B5A7C"/>
    <w:rsid w:val="002B7A98"/>
    <w:rsid w:val="002C1E05"/>
    <w:rsid w:val="002C2433"/>
    <w:rsid w:val="002C2B9D"/>
    <w:rsid w:val="002C631E"/>
    <w:rsid w:val="002D1CBE"/>
    <w:rsid w:val="002E1741"/>
    <w:rsid w:val="002E17C7"/>
    <w:rsid w:val="002E33DE"/>
    <w:rsid w:val="002F21A8"/>
    <w:rsid w:val="002F35D1"/>
    <w:rsid w:val="002F78E4"/>
    <w:rsid w:val="002F792A"/>
    <w:rsid w:val="0030335A"/>
    <w:rsid w:val="00303903"/>
    <w:rsid w:val="00311181"/>
    <w:rsid w:val="003277EC"/>
    <w:rsid w:val="00333830"/>
    <w:rsid w:val="00333CF2"/>
    <w:rsid w:val="00337EF9"/>
    <w:rsid w:val="0034054F"/>
    <w:rsid w:val="00341DF4"/>
    <w:rsid w:val="0034240B"/>
    <w:rsid w:val="00344984"/>
    <w:rsid w:val="00345F4C"/>
    <w:rsid w:val="00346F26"/>
    <w:rsid w:val="00353681"/>
    <w:rsid w:val="003564EB"/>
    <w:rsid w:val="003628ED"/>
    <w:rsid w:val="003634F8"/>
    <w:rsid w:val="00363693"/>
    <w:rsid w:val="003647F7"/>
    <w:rsid w:val="0036566F"/>
    <w:rsid w:val="0037328A"/>
    <w:rsid w:val="00377265"/>
    <w:rsid w:val="003823CB"/>
    <w:rsid w:val="00386555"/>
    <w:rsid w:val="00387DF7"/>
    <w:rsid w:val="003A4B15"/>
    <w:rsid w:val="003A62EF"/>
    <w:rsid w:val="003A6BD6"/>
    <w:rsid w:val="003A6E89"/>
    <w:rsid w:val="003A7315"/>
    <w:rsid w:val="003B1508"/>
    <w:rsid w:val="003B30F2"/>
    <w:rsid w:val="003C563B"/>
    <w:rsid w:val="003D08BF"/>
    <w:rsid w:val="003D1E68"/>
    <w:rsid w:val="003D3844"/>
    <w:rsid w:val="003D3AA8"/>
    <w:rsid w:val="003D61DF"/>
    <w:rsid w:val="003D6CD4"/>
    <w:rsid w:val="003D787A"/>
    <w:rsid w:val="003E28FC"/>
    <w:rsid w:val="003E2FC5"/>
    <w:rsid w:val="003F1094"/>
    <w:rsid w:val="003F4C93"/>
    <w:rsid w:val="003F5559"/>
    <w:rsid w:val="003F59C5"/>
    <w:rsid w:val="003F6895"/>
    <w:rsid w:val="003F74C1"/>
    <w:rsid w:val="003F7E8F"/>
    <w:rsid w:val="00402B4D"/>
    <w:rsid w:val="0040323E"/>
    <w:rsid w:val="00404A2D"/>
    <w:rsid w:val="00405F5B"/>
    <w:rsid w:val="00407D99"/>
    <w:rsid w:val="0041108E"/>
    <w:rsid w:val="00415E8B"/>
    <w:rsid w:val="00422918"/>
    <w:rsid w:val="004231A0"/>
    <w:rsid w:val="00423984"/>
    <w:rsid w:val="00425663"/>
    <w:rsid w:val="00426EC8"/>
    <w:rsid w:val="00426FB1"/>
    <w:rsid w:val="004307F2"/>
    <w:rsid w:val="00435F32"/>
    <w:rsid w:val="00436B80"/>
    <w:rsid w:val="004532CE"/>
    <w:rsid w:val="00453D6E"/>
    <w:rsid w:val="004566A6"/>
    <w:rsid w:val="00457A2E"/>
    <w:rsid w:val="00461413"/>
    <w:rsid w:val="004616BA"/>
    <w:rsid w:val="00462D7A"/>
    <w:rsid w:val="0046548D"/>
    <w:rsid w:val="004666B3"/>
    <w:rsid w:val="00467918"/>
    <w:rsid w:val="00472240"/>
    <w:rsid w:val="00472FFA"/>
    <w:rsid w:val="00473462"/>
    <w:rsid w:val="00474465"/>
    <w:rsid w:val="00483112"/>
    <w:rsid w:val="00486B81"/>
    <w:rsid w:val="0049327E"/>
    <w:rsid w:val="00496ABC"/>
    <w:rsid w:val="004972BD"/>
    <w:rsid w:val="004A2D2A"/>
    <w:rsid w:val="004A79CC"/>
    <w:rsid w:val="004B18C5"/>
    <w:rsid w:val="004C67A4"/>
    <w:rsid w:val="004D2AF7"/>
    <w:rsid w:val="004D7F28"/>
    <w:rsid w:val="004E0D63"/>
    <w:rsid w:val="004E358F"/>
    <w:rsid w:val="004F54E1"/>
    <w:rsid w:val="004F6CE7"/>
    <w:rsid w:val="00510691"/>
    <w:rsid w:val="0051186F"/>
    <w:rsid w:val="00512F21"/>
    <w:rsid w:val="00513B75"/>
    <w:rsid w:val="00514BE1"/>
    <w:rsid w:val="00515F73"/>
    <w:rsid w:val="00517177"/>
    <w:rsid w:val="0052314E"/>
    <w:rsid w:val="0052325B"/>
    <w:rsid w:val="005333DC"/>
    <w:rsid w:val="0053693B"/>
    <w:rsid w:val="00541696"/>
    <w:rsid w:val="0054684A"/>
    <w:rsid w:val="00547143"/>
    <w:rsid w:val="005473EB"/>
    <w:rsid w:val="00550CED"/>
    <w:rsid w:val="00553937"/>
    <w:rsid w:val="00555C21"/>
    <w:rsid w:val="005612C1"/>
    <w:rsid w:val="0056171A"/>
    <w:rsid w:val="00563712"/>
    <w:rsid w:val="00563EE2"/>
    <w:rsid w:val="00565C0A"/>
    <w:rsid w:val="00567D72"/>
    <w:rsid w:val="0057000A"/>
    <w:rsid w:val="00571179"/>
    <w:rsid w:val="005758DA"/>
    <w:rsid w:val="00592681"/>
    <w:rsid w:val="005969E9"/>
    <w:rsid w:val="005A01D5"/>
    <w:rsid w:val="005A39AE"/>
    <w:rsid w:val="005A6FE0"/>
    <w:rsid w:val="005B3060"/>
    <w:rsid w:val="005B4F42"/>
    <w:rsid w:val="005C1972"/>
    <w:rsid w:val="005C7AA6"/>
    <w:rsid w:val="005D1F46"/>
    <w:rsid w:val="005D70FC"/>
    <w:rsid w:val="005E07DB"/>
    <w:rsid w:val="005E1D94"/>
    <w:rsid w:val="005E299C"/>
    <w:rsid w:val="005E315F"/>
    <w:rsid w:val="005E7304"/>
    <w:rsid w:val="006011DE"/>
    <w:rsid w:val="00604BC5"/>
    <w:rsid w:val="006134A0"/>
    <w:rsid w:val="00622ADA"/>
    <w:rsid w:val="0062425A"/>
    <w:rsid w:val="006256AE"/>
    <w:rsid w:val="00626C60"/>
    <w:rsid w:val="00627C63"/>
    <w:rsid w:val="006333C3"/>
    <w:rsid w:val="0064018F"/>
    <w:rsid w:val="00642198"/>
    <w:rsid w:val="00645EBC"/>
    <w:rsid w:val="00654D17"/>
    <w:rsid w:val="0065543A"/>
    <w:rsid w:val="006555C7"/>
    <w:rsid w:val="00656248"/>
    <w:rsid w:val="006569BF"/>
    <w:rsid w:val="006656CC"/>
    <w:rsid w:val="00667694"/>
    <w:rsid w:val="00670CE7"/>
    <w:rsid w:val="00674479"/>
    <w:rsid w:val="00674A35"/>
    <w:rsid w:val="00682A62"/>
    <w:rsid w:val="00682EDD"/>
    <w:rsid w:val="00684AC4"/>
    <w:rsid w:val="00685011"/>
    <w:rsid w:val="00685BCC"/>
    <w:rsid w:val="00695FBF"/>
    <w:rsid w:val="00697D2A"/>
    <w:rsid w:val="006A0BF5"/>
    <w:rsid w:val="006A2983"/>
    <w:rsid w:val="006A2DE6"/>
    <w:rsid w:val="006A5307"/>
    <w:rsid w:val="006B2AEC"/>
    <w:rsid w:val="006B5450"/>
    <w:rsid w:val="006C52A9"/>
    <w:rsid w:val="006C6700"/>
    <w:rsid w:val="006C67C3"/>
    <w:rsid w:val="006D2520"/>
    <w:rsid w:val="006D5996"/>
    <w:rsid w:val="006D6983"/>
    <w:rsid w:val="006E0799"/>
    <w:rsid w:val="006E377A"/>
    <w:rsid w:val="006E569C"/>
    <w:rsid w:val="006F699F"/>
    <w:rsid w:val="00703D09"/>
    <w:rsid w:val="00704FC2"/>
    <w:rsid w:val="00707139"/>
    <w:rsid w:val="00707DB4"/>
    <w:rsid w:val="0071327D"/>
    <w:rsid w:val="0071577D"/>
    <w:rsid w:val="00720907"/>
    <w:rsid w:val="00721634"/>
    <w:rsid w:val="00727F5E"/>
    <w:rsid w:val="00731F94"/>
    <w:rsid w:val="007371BA"/>
    <w:rsid w:val="00740ABD"/>
    <w:rsid w:val="00741E02"/>
    <w:rsid w:val="007445AF"/>
    <w:rsid w:val="0074634A"/>
    <w:rsid w:val="007466BF"/>
    <w:rsid w:val="00746FC6"/>
    <w:rsid w:val="00747421"/>
    <w:rsid w:val="00754661"/>
    <w:rsid w:val="0075568F"/>
    <w:rsid w:val="00757A53"/>
    <w:rsid w:val="00760FCF"/>
    <w:rsid w:val="00764062"/>
    <w:rsid w:val="00767FE0"/>
    <w:rsid w:val="00770231"/>
    <w:rsid w:val="00774971"/>
    <w:rsid w:val="00780F1C"/>
    <w:rsid w:val="00784778"/>
    <w:rsid w:val="007861E3"/>
    <w:rsid w:val="00786419"/>
    <w:rsid w:val="0078750E"/>
    <w:rsid w:val="00791B52"/>
    <w:rsid w:val="007932AB"/>
    <w:rsid w:val="00796C0D"/>
    <w:rsid w:val="007A01F0"/>
    <w:rsid w:val="007A2779"/>
    <w:rsid w:val="007A638F"/>
    <w:rsid w:val="007A69BA"/>
    <w:rsid w:val="007A7A92"/>
    <w:rsid w:val="007B1547"/>
    <w:rsid w:val="007B241D"/>
    <w:rsid w:val="007B4B7D"/>
    <w:rsid w:val="007B65E2"/>
    <w:rsid w:val="007C4190"/>
    <w:rsid w:val="007D082E"/>
    <w:rsid w:val="007D152E"/>
    <w:rsid w:val="007D1F22"/>
    <w:rsid w:val="007D4F59"/>
    <w:rsid w:val="007D7268"/>
    <w:rsid w:val="007E2B56"/>
    <w:rsid w:val="007E2D13"/>
    <w:rsid w:val="007E35C9"/>
    <w:rsid w:val="007E36BE"/>
    <w:rsid w:val="007E4B41"/>
    <w:rsid w:val="007E5F69"/>
    <w:rsid w:val="007F130D"/>
    <w:rsid w:val="007F1914"/>
    <w:rsid w:val="007F277B"/>
    <w:rsid w:val="007F6A11"/>
    <w:rsid w:val="007F77FE"/>
    <w:rsid w:val="007F785D"/>
    <w:rsid w:val="00803BE4"/>
    <w:rsid w:val="008056BA"/>
    <w:rsid w:val="00811DAC"/>
    <w:rsid w:val="00813C9D"/>
    <w:rsid w:val="008171D0"/>
    <w:rsid w:val="008206C2"/>
    <w:rsid w:val="00822B2B"/>
    <w:rsid w:val="0082749C"/>
    <w:rsid w:val="0083253A"/>
    <w:rsid w:val="00833956"/>
    <w:rsid w:val="00835161"/>
    <w:rsid w:val="0083542F"/>
    <w:rsid w:val="008354DE"/>
    <w:rsid w:val="008459CA"/>
    <w:rsid w:val="00847CFF"/>
    <w:rsid w:val="0085000D"/>
    <w:rsid w:val="00851BD7"/>
    <w:rsid w:val="00855587"/>
    <w:rsid w:val="008563FC"/>
    <w:rsid w:val="00862C7A"/>
    <w:rsid w:val="00864615"/>
    <w:rsid w:val="00873763"/>
    <w:rsid w:val="00873A18"/>
    <w:rsid w:val="008910B8"/>
    <w:rsid w:val="00894DF1"/>
    <w:rsid w:val="008A022B"/>
    <w:rsid w:val="008A3308"/>
    <w:rsid w:val="008A4577"/>
    <w:rsid w:val="008A5F20"/>
    <w:rsid w:val="008B1A8D"/>
    <w:rsid w:val="008B4D08"/>
    <w:rsid w:val="008B5199"/>
    <w:rsid w:val="008B76CC"/>
    <w:rsid w:val="008C2448"/>
    <w:rsid w:val="008C43A2"/>
    <w:rsid w:val="008C48CE"/>
    <w:rsid w:val="008D0827"/>
    <w:rsid w:val="008D0FA5"/>
    <w:rsid w:val="008D2C43"/>
    <w:rsid w:val="008D6FE2"/>
    <w:rsid w:val="008E2F50"/>
    <w:rsid w:val="008E35AD"/>
    <w:rsid w:val="008E4675"/>
    <w:rsid w:val="008E6141"/>
    <w:rsid w:val="008E7E6F"/>
    <w:rsid w:val="008F16CA"/>
    <w:rsid w:val="008F18FB"/>
    <w:rsid w:val="008F4469"/>
    <w:rsid w:val="008F7624"/>
    <w:rsid w:val="00900C50"/>
    <w:rsid w:val="0090179F"/>
    <w:rsid w:val="00904B9B"/>
    <w:rsid w:val="00907AEC"/>
    <w:rsid w:val="00911AC9"/>
    <w:rsid w:val="009133E0"/>
    <w:rsid w:val="00913B19"/>
    <w:rsid w:val="00915449"/>
    <w:rsid w:val="0092256E"/>
    <w:rsid w:val="00923214"/>
    <w:rsid w:val="0092497D"/>
    <w:rsid w:val="00935E29"/>
    <w:rsid w:val="009404FF"/>
    <w:rsid w:val="0094079D"/>
    <w:rsid w:val="00945442"/>
    <w:rsid w:val="00951E65"/>
    <w:rsid w:val="0095259B"/>
    <w:rsid w:val="009554CE"/>
    <w:rsid w:val="00955913"/>
    <w:rsid w:val="00955968"/>
    <w:rsid w:val="00956A95"/>
    <w:rsid w:val="009713CB"/>
    <w:rsid w:val="00983E09"/>
    <w:rsid w:val="00985253"/>
    <w:rsid w:val="00992409"/>
    <w:rsid w:val="009B0C77"/>
    <w:rsid w:val="009B3142"/>
    <w:rsid w:val="009B6303"/>
    <w:rsid w:val="009C4CF3"/>
    <w:rsid w:val="009C5CD4"/>
    <w:rsid w:val="009D0D13"/>
    <w:rsid w:val="009D3826"/>
    <w:rsid w:val="009D52CF"/>
    <w:rsid w:val="009D62D6"/>
    <w:rsid w:val="009D6BF3"/>
    <w:rsid w:val="009E009C"/>
    <w:rsid w:val="009E551D"/>
    <w:rsid w:val="009E606E"/>
    <w:rsid w:val="009E7F94"/>
    <w:rsid w:val="009F16C4"/>
    <w:rsid w:val="00A038A8"/>
    <w:rsid w:val="00A05E3B"/>
    <w:rsid w:val="00A20783"/>
    <w:rsid w:val="00A21889"/>
    <w:rsid w:val="00A21C23"/>
    <w:rsid w:val="00A23F39"/>
    <w:rsid w:val="00A2662B"/>
    <w:rsid w:val="00A30454"/>
    <w:rsid w:val="00A32B50"/>
    <w:rsid w:val="00A32FBB"/>
    <w:rsid w:val="00A360AD"/>
    <w:rsid w:val="00A3667E"/>
    <w:rsid w:val="00A36A92"/>
    <w:rsid w:val="00A421BC"/>
    <w:rsid w:val="00A42569"/>
    <w:rsid w:val="00A42F72"/>
    <w:rsid w:val="00A435D3"/>
    <w:rsid w:val="00A529AC"/>
    <w:rsid w:val="00A5357B"/>
    <w:rsid w:val="00A55AB4"/>
    <w:rsid w:val="00A6249D"/>
    <w:rsid w:val="00A6415C"/>
    <w:rsid w:val="00A64A98"/>
    <w:rsid w:val="00A656AE"/>
    <w:rsid w:val="00A65985"/>
    <w:rsid w:val="00A70EE3"/>
    <w:rsid w:val="00A7124C"/>
    <w:rsid w:val="00A76EFB"/>
    <w:rsid w:val="00A808D0"/>
    <w:rsid w:val="00A81A4A"/>
    <w:rsid w:val="00A8316C"/>
    <w:rsid w:val="00A91CE3"/>
    <w:rsid w:val="00A93DBF"/>
    <w:rsid w:val="00AA009D"/>
    <w:rsid w:val="00AA7D1D"/>
    <w:rsid w:val="00AC53DA"/>
    <w:rsid w:val="00AC5F32"/>
    <w:rsid w:val="00AC7C17"/>
    <w:rsid w:val="00AD2DD3"/>
    <w:rsid w:val="00AD3B77"/>
    <w:rsid w:val="00AD6033"/>
    <w:rsid w:val="00AE2C82"/>
    <w:rsid w:val="00AE2D5C"/>
    <w:rsid w:val="00AE4918"/>
    <w:rsid w:val="00AF0B64"/>
    <w:rsid w:val="00AF2584"/>
    <w:rsid w:val="00AF525F"/>
    <w:rsid w:val="00AF537F"/>
    <w:rsid w:val="00AF5CDA"/>
    <w:rsid w:val="00B00E97"/>
    <w:rsid w:val="00B04239"/>
    <w:rsid w:val="00B0599E"/>
    <w:rsid w:val="00B0650C"/>
    <w:rsid w:val="00B11D7D"/>
    <w:rsid w:val="00B13126"/>
    <w:rsid w:val="00B1526F"/>
    <w:rsid w:val="00B17157"/>
    <w:rsid w:val="00B22433"/>
    <w:rsid w:val="00B23CC4"/>
    <w:rsid w:val="00B2674A"/>
    <w:rsid w:val="00B32A16"/>
    <w:rsid w:val="00B4093F"/>
    <w:rsid w:val="00B426E3"/>
    <w:rsid w:val="00B47DC2"/>
    <w:rsid w:val="00B51B4A"/>
    <w:rsid w:val="00B56F01"/>
    <w:rsid w:val="00B67C63"/>
    <w:rsid w:val="00B70435"/>
    <w:rsid w:val="00B706DF"/>
    <w:rsid w:val="00B76FC9"/>
    <w:rsid w:val="00B81C7F"/>
    <w:rsid w:val="00B8210B"/>
    <w:rsid w:val="00B84A13"/>
    <w:rsid w:val="00B85293"/>
    <w:rsid w:val="00B93415"/>
    <w:rsid w:val="00B951B1"/>
    <w:rsid w:val="00B97426"/>
    <w:rsid w:val="00B97DDF"/>
    <w:rsid w:val="00BA6CC0"/>
    <w:rsid w:val="00BA6D45"/>
    <w:rsid w:val="00BB4619"/>
    <w:rsid w:val="00BC15CE"/>
    <w:rsid w:val="00BC1A97"/>
    <w:rsid w:val="00BC2A9B"/>
    <w:rsid w:val="00BC4924"/>
    <w:rsid w:val="00BC54DE"/>
    <w:rsid w:val="00BC5CB0"/>
    <w:rsid w:val="00BC7DB1"/>
    <w:rsid w:val="00BE7F2B"/>
    <w:rsid w:val="00BF1066"/>
    <w:rsid w:val="00BF10F9"/>
    <w:rsid w:val="00BF164C"/>
    <w:rsid w:val="00BF2BE2"/>
    <w:rsid w:val="00BF5525"/>
    <w:rsid w:val="00BF55B5"/>
    <w:rsid w:val="00BF7838"/>
    <w:rsid w:val="00C04C8D"/>
    <w:rsid w:val="00C0534D"/>
    <w:rsid w:val="00C0577E"/>
    <w:rsid w:val="00C05C3F"/>
    <w:rsid w:val="00C12C1A"/>
    <w:rsid w:val="00C16CAB"/>
    <w:rsid w:val="00C23206"/>
    <w:rsid w:val="00C23EBB"/>
    <w:rsid w:val="00C2463E"/>
    <w:rsid w:val="00C30792"/>
    <w:rsid w:val="00C32786"/>
    <w:rsid w:val="00C346A2"/>
    <w:rsid w:val="00C36F27"/>
    <w:rsid w:val="00C41F06"/>
    <w:rsid w:val="00C422D9"/>
    <w:rsid w:val="00C42E3D"/>
    <w:rsid w:val="00C44B2E"/>
    <w:rsid w:val="00C4777B"/>
    <w:rsid w:val="00C47D56"/>
    <w:rsid w:val="00C561A4"/>
    <w:rsid w:val="00C56B40"/>
    <w:rsid w:val="00C61AA4"/>
    <w:rsid w:val="00C632D6"/>
    <w:rsid w:val="00C65CA5"/>
    <w:rsid w:val="00C6762A"/>
    <w:rsid w:val="00C72DAD"/>
    <w:rsid w:val="00C72FCA"/>
    <w:rsid w:val="00C73945"/>
    <w:rsid w:val="00C77463"/>
    <w:rsid w:val="00C800AD"/>
    <w:rsid w:val="00C80A6E"/>
    <w:rsid w:val="00C8468B"/>
    <w:rsid w:val="00C9039B"/>
    <w:rsid w:val="00C9289F"/>
    <w:rsid w:val="00C92ED4"/>
    <w:rsid w:val="00C96839"/>
    <w:rsid w:val="00C968BE"/>
    <w:rsid w:val="00C97F38"/>
    <w:rsid w:val="00CA370C"/>
    <w:rsid w:val="00CA440E"/>
    <w:rsid w:val="00CB0792"/>
    <w:rsid w:val="00CB366B"/>
    <w:rsid w:val="00CC4869"/>
    <w:rsid w:val="00CD0ECA"/>
    <w:rsid w:val="00CD375D"/>
    <w:rsid w:val="00CD455A"/>
    <w:rsid w:val="00CD4E61"/>
    <w:rsid w:val="00CE101E"/>
    <w:rsid w:val="00CE12DA"/>
    <w:rsid w:val="00CE2740"/>
    <w:rsid w:val="00CE4FD7"/>
    <w:rsid w:val="00CF3D8D"/>
    <w:rsid w:val="00CF7CD9"/>
    <w:rsid w:val="00D10EC1"/>
    <w:rsid w:val="00D12C51"/>
    <w:rsid w:val="00D16570"/>
    <w:rsid w:val="00D17240"/>
    <w:rsid w:val="00D17C30"/>
    <w:rsid w:val="00D20703"/>
    <w:rsid w:val="00D21D90"/>
    <w:rsid w:val="00D226C3"/>
    <w:rsid w:val="00D27328"/>
    <w:rsid w:val="00D27677"/>
    <w:rsid w:val="00D30B5C"/>
    <w:rsid w:val="00D31DE3"/>
    <w:rsid w:val="00D427DD"/>
    <w:rsid w:val="00D47591"/>
    <w:rsid w:val="00D50CA8"/>
    <w:rsid w:val="00D53471"/>
    <w:rsid w:val="00D548CF"/>
    <w:rsid w:val="00D5616F"/>
    <w:rsid w:val="00D56889"/>
    <w:rsid w:val="00D629CC"/>
    <w:rsid w:val="00D65EE4"/>
    <w:rsid w:val="00D66723"/>
    <w:rsid w:val="00D67478"/>
    <w:rsid w:val="00D67E89"/>
    <w:rsid w:val="00D734BA"/>
    <w:rsid w:val="00D74141"/>
    <w:rsid w:val="00D76B76"/>
    <w:rsid w:val="00D8287F"/>
    <w:rsid w:val="00D832AF"/>
    <w:rsid w:val="00D8467E"/>
    <w:rsid w:val="00D84700"/>
    <w:rsid w:val="00D8745C"/>
    <w:rsid w:val="00D938C5"/>
    <w:rsid w:val="00D95E18"/>
    <w:rsid w:val="00DA792A"/>
    <w:rsid w:val="00DB1310"/>
    <w:rsid w:val="00DB5506"/>
    <w:rsid w:val="00DC5520"/>
    <w:rsid w:val="00DC7522"/>
    <w:rsid w:val="00DD03CA"/>
    <w:rsid w:val="00DD1DFE"/>
    <w:rsid w:val="00DD7DE3"/>
    <w:rsid w:val="00DE2A53"/>
    <w:rsid w:val="00DE51D9"/>
    <w:rsid w:val="00DE5F36"/>
    <w:rsid w:val="00DF3571"/>
    <w:rsid w:val="00E03591"/>
    <w:rsid w:val="00E12040"/>
    <w:rsid w:val="00E12582"/>
    <w:rsid w:val="00E12C47"/>
    <w:rsid w:val="00E14CFC"/>
    <w:rsid w:val="00E15BDB"/>
    <w:rsid w:val="00E1641E"/>
    <w:rsid w:val="00E2011F"/>
    <w:rsid w:val="00E228CA"/>
    <w:rsid w:val="00E23263"/>
    <w:rsid w:val="00E241DF"/>
    <w:rsid w:val="00E27A33"/>
    <w:rsid w:val="00E3355A"/>
    <w:rsid w:val="00E33DDE"/>
    <w:rsid w:val="00E33F3B"/>
    <w:rsid w:val="00E3446B"/>
    <w:rsid w:val="00E3754F"/>
    <w:rsid w:val="00E432BF"/>
    <w:rsid w:val="00E43C4A"/>
    <w:rsid w:val="00E468D7"/>
    <w:rsid w:val="00E52632"/>
    <w:rsid w:val="00E61700"/>
    <w:rsid w:val="00E61D54"/>
    <w:rsid w:val="00E61E38"/>
    <w:rsid w:val="00E620D4"/>
    <w:rsid w:val="00E63388"/>
    <w:rsid w:val="00E64E83"/>
    <w:rsid w:val="00E65E78"/>
    <w:rsid w:val="00E66948"/>
    <w:rsid w:val="00E67D1F"/>
    <w:rsid w:val="00E70345"/>
    <w:rsid w:val="00E711F2"/>
    <w:rsid w:val="00E73092"/>
    <w:rsid w:val="00E7525D"/>
    <w:rsid w:val="00E77B61"/>
    <w:rsid w:val="00E8267C"/>
    <w:rsid w:val="00E82C3F"/>
    <w:rsid w:val="00E86D23"/>
    <w:rsid w:val="00E93394"/>
    <w:rsid w:val="00E952CA"/>
    <w:rsid w:val="00E95B0F"/>
    <w:rsid w:val="00E97CC0"/>
    <w:rsid w:val="00EA4FC2"/>
    <w:rsid w:val="00EB43B2"/>
    <w:rsid w:val="00EC3D7D"/>
    <w:rsid w:val="00EC4F16"/>
    <w:rsid w:val="00ED12BF"/>
    <w:rsid w:val="00ED1867"/>
    <w:rsid w:val="00ED4E26"/>
    <w:rsid w:val="00EE0551"/>
    <w:rsid w:val="00EE0DD8"/>
    <w:rsid w:val="00EE1C07"/>
    <w:rsid w:val="00EE36A8"/>
    <w:rsid w:val="00EE3855"/>
    <w:rsid w:val="00EE4418"/>
    <w:rsid w:val="00EE5F15"/>
    <w:rsid w:val="00EE78EF"/>
    <w:rsid w:val="00EE7C39"/>
    <w:rsid w:val="00EF0343"/>
    <w:rsid w:val="00EF04B2"/>
    <w:rsid w:val="00EF2C3E"/>
    <w:rsid w:val="00EF2DD3"/>
    <w:rsid w:val="00F01BC0"/>
    <w:rsid w:val="00F028B2"/>
    <w:rsid w:val="00F038E4"/>
    <w:rsid w:val="00F04B6D"/>
    <w:rsid w:val="00F05217"/>
    <w:rsid w:val="00F063FD"/>
    <w:rsid w:val="00F10EA8"/>
    <w:rsid w:val="00F137B8"/>
    <w:rsid w:val="00F240B6"/>
    <w:rsid w:val="00F25D28"/>
    <w:rsid w:val="00F315C5"/>
    <w:rsid w:val="00F42535"/>
    <w:rsid w:val="00F43A39"/>
    <w:rsid w:val="00F45D2E"/>
    <w:rsid w:val="00F47DC6"/>
    <w:rsid w:val="00F52991"/>
    <w:rsid w:val="00F54D66"/>
    <w:rsid w:val="00F60989"/>
    <w:rsid w:val="00F60BE4"/>
    <w:rsid w:val="00F62A67"/>
    <w:rsid w:val="00F63B11"/>
    <w:rsid w:val="00F64BC4"/>
    <w:rsid w:val="00F6642F"/>
    <w:rsid w:val="00F66F70"/>
    <w:rsid w:val="00F679AB"/>
    <w:rsid w:val="00F701B9"/>
    <w:rsid w:val="00F71527"/>
    <w:rsid w:val="00F7389F"/>
    <w:rsid w:val="00F746F3"/>
    <w:rsid w:val="00F75901"/>
    <w:rsid w:val="00F77112"/>
    <w:rsid w:val="00F815E0"/>
    <w:rsid w:val="00F83FCE"/>
    <w:rsid w:val="00F844EC"/>
    <w:rsid w:val="00F85B22"/>
    <w:rsid w:val="00F86826"/>
    <w:rsid w:val="00F90117"/>
    <w:rsid w:val="00F94673"/>
    <w:rsid w:val="00F955AF"/>
    <w:rsid w:val="00F9693A"/>
    <w:rsid w:val="00FA1235"/>
    <w:rsid w:val="00FA4CFA"/>
    <w:rsid w:val="00FA7620"/>
    <w:rsid w:val="00FB3A45"/>
    <w:rsid w:val="00FB517B"/>
    <w:rsid w:val="00FB7F7E"/>
    <w:rsid w:val="00FC2FA4"/>
    <w:rsid w:val="00FC3E31"/>
    <w:rsid w:val="00FC75A0"/>
    <w:rsid w:val="00FE0868"/>
    <w:rsid w:val="00FE1DB9"/>
    <w:rsid w:val="00FE5C4B"/>
    <w:rsid w:val="00FE63A2"/>
    <w:rsid w:val="00FE6735"/>
    <w:rsid w:val="00FE6C9B"/>
    <w:rsid w:val="00FE7C2A"/>
    <w:rsid w:val="00FF11EF"/>
    <w:rsid w:val="00FF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30C0EDC-29F4-4707-B3EA-231396C2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link w:val="HeaderChar"/>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customStyle="1" w:styleId="Style1">
    <w:name w:val="Style1"/>
    <w:basedOn w:val="Normal"/>
  </w:style>
  <w:style w:type="paragraph" w:styleId="Footer">
    <w:name w:val="footer"/>
    <w:basedOn w:val="Normal"/>
    <w:link w:val="FooterChar"/>
    <w:pPr>
      <w:tabs>
        <w:tab w:val="center" w:pos="4320"/>
        <w:tab w:val="right" w:pos="8640"/>
      </w:tabs>
    </w:pPr>
  </w:style>
  <w:style w:type="paragraph" w:customStyle="1" w:styleId="SpecBook">
    <w:name w:val="Spec Book"/>
    <w:basedOn w:val="Heading2"/>
    <w:next w:val="Normal"/>
    <w:pPr>
      <w:spacing w:before="0" w:after="0"/>
      <w:ind w:firstLine="360"/>
      <w:jc w:val="center"/>
    </w:pPr>
    <w:rPr>
      <w:i w:val="0"/>
      <w:snapToGrid w:val="0"/>
      <w:sz w:val="18"/>
    </w:rPr>
  </w:style>
  <w:style w:type="character" w:customStyle="1" w:styleId="Article">
    <w:name w:val="Article"/>
    <w:rPr>
      <w:rFonts w:ascii="Arial" w:hAnsi="Arial"/>
      <w:b/>
      <w:sz w:val="18"/>
    </w:rPr>
  </w:style>
  <w:style w:type="character" w:customStyle="1" w:styleId="Section">
    <w:name w:val="Section"/>
    <w:basedOn w:val="Article"/>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BodyTextIndent3">
    <w:name w:val="Body Text Indent 3"/>
    <w:basedOn w:val="Normal"/>
    <w:link w:val="BodyTextIndent3Char"/>
    <w:rsid w:val="00E82C3F"/>
    <w:pPr>
      <w:spacing w:after="120"/>
      <w:ind w:left="360"/>
    </w:pPr>
    <w:rPr>
      <w:sz w:val="16"/>
      <w:szCs w:val="16"/>
    </w:rPr>
  </w:style>
  <w:style w:type="character" w:customStyle="1" w:styleId="BodyTextIndent3Char">
    <w:name w:val="Body Text Indent 3 Char"/>
    <w:link w:val="BodyTextIndent3"/>
    <w:rsid w:val="00E82C3F"/>
    <w:rPr>
      <w:rFonts w:ascii="Arial" w:hAnsi="Arial"/>
      <w:sz w:val="16"/>
      <w:szCs w:val="16"/>
    </w:rPr>
  </w:style>
  <w:style w:type="character" w:styleId="PageNumber">
    <w:name w:val="page number"/>
    <w:basedOn w:val="DefaultParagraphFont"/>
    <w:rsid w:val="00C9039B"/>
  </w:style>
  <w:style w:type="character" w:customStyle="1" w:styleId="FooterChar">
    <w:name w:val="Footer Char"/>
    <w:link w:val="Footer"/>
    <w:rsid w:val="00425663"/>
    <w:rPr>
      <w:rFonts w:ascii="Arial" w:hAnsi="Arial"/>
      <w:sz w:val="22"/>
    </w:rPr>
  </w:style>
  <w:style w:type="table" w:styleId="TableGrid">
    <w:name w:val="Table Grid"/>
    <w:basedOn w:val="TableNormal"/>
    <w:rsid w:val="005333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8E35AD"/>
    <w:pPr>
      <w:spacing w:after="120"/>
      <w:ind w:left="360"/>
    </w:pPr>
  </w:style>
  <w:style w:type="character" w:customStyle="1" w:styleId="BodyTextIndentChar">
    <w:name w:val="Body Text Indent Char"/>
    <w:link w:val="BodyTextIndent"/>
    <w:rsid w:val="008E35A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winword\template\Dist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3194B-1A8C-4B9D-A881-9C9FDAA2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Distspec.dot</Template>
  <TotalTime>0</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Subcontractor and DBE Payment Reporting</vt:lpstr>
    </vt:vector>
  </TitlesOfParts>
  <Company>IDOT</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 and DBE Payment Reporting</dc:title>
  <dc:subject>E 04/02/18</dc:subject>
  <dc:creator>BDE</dc:creator>
  <cp:keywords/>
  <dc:description>This special provision was officially issued for the August 2018 letting, however it was issued as an emergency for the April 2018 letting.</dc:description>
  <cp:lastModifiedBy>elstontw</cp:lastModifiedBy>
  <cp:revision>2</cp:revision>
  <cp:lastPrinted>2010-08-30T18:45:00Z</cp:lastPrinted>
  <dcterms:created xsi:type="dcterms:W3CDTF">2018-04-03T17:50:00Z</dcterms:created>
  <dcterms:modified xsi:type="dcterms:W3CDTF">2018-04-03T17:50:00Z</dcterms:modified>
</cp:coreProperties>
</file>