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E4E" w:rsidRDefault="002546BA">
      <w:pPr>
        <w:framePr w:hSpace="187" w:wrap="around" w:hAnchor="page" w:x="1052" w:y="433" w:anchorLock="1"/>
      </w:pPr>
      <w:r>
        <w:rPr>
          <w:noProof/>
        </w:rPr>
        <w:drawing>
          <wp:inline distT="0" distB="0" distL="0" distR="0">
            <wp:extent cx="58388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38825" cy="1038225"/>
                    </a:xfrm>
                    <a:prstGeom prst="rect">
                      <a:avLst/>
                    </a:prstGeom>
                    <a:noFill/>
                    <a:ln>
                      <a:noFill/>
                    </a:ln>
                  </pic:spPr>
                </pic:pic>
              </a:graphicData>
            </a:graphic>
          </wp:inline>
        </w:drawing>
      </w:r>
    </w:p>
    <w:p w:rsidR="00112E4E" w:rsidRDefault="00112E4E"/>
    <w:p w:rsidR="00112E4E" w:rsidRDefault="00112E4E">
      <w:pPr>
        <w:framePr w:w="8078" w:h="3310" w:hRule="exact" w:hSpace="187" w:wrap="around" w:vAnchor="text" w:hAnchor="page" w:x="2586" w:y="1319" w:anchorLock="1"/>
        <w:tabs>
          <w:tab w:val="left" w:pos="90"/>
        </w:tabs>
        <w:rPr>
          <w:rFonts w:ascii="Helvetica" w:hAnsi="Helvetica"/>
          <w:sz w:val="30"/>
        </w:rPr>
      </w:pPr>
      <w:r>
        <w:rPr>
          <w:rFonts w:ascii="Helvetica" w:hAnsi="Helvetica"/>
          <w:sz w:val="36"/>
        </w:rPr>
        <w:tab/>
      </w:r>
      <w:r>
        <w:rPr>
          <w:rFonts w:ascii="Helvetica" w:hAnsi="Helvetica"/>
          <w:b/>
          <w:sz w:val="36"/>
        </w:rPr>
        <w:t>Memorandum</w:t>
      </w:r>
    </w:p>
    <w:p w:rsidR="00112E4E" w:rsidRDefault="00112E4E">
      <w:pPr>
        <w:framePr w:w="8078" w:h="3310" w:hRule="exact" w:hSpace="187" w:wrap="around" w:vAnchor="text" w:hAnchor="page" w:x="2586" w:y="1319" w:anchorLock="1"/>
        <w:tabs>
          <w:tab w:val="right" w:leader="underscore" w:pos="7740"/>
        </w:tabs>
        <w:ind w:right="-120"/>
        <w:rPr>
          <w:rFonts w:ascii="Helvetica" w:hAnsi="Helvetica"/>
          <w:sz w:val="26"/>
        </w:rPr>
      </w:pPr>
      <w:r>
        <w:rPr>
          <w:rFonts w:ascii="Helvetica" w:hAnsi="Helvetica"/>
          <w:sz w:val="30"/>
        </w:rPr>
        <w:tab/>
      </w:r>
    </w:p>
    <w:p w:rsidR="00112E4E" w:rsidRDefault="00112E4E">
      <w:pPr>
        <w:framePr w:w="8078" w:h="3310" w:hRule="exact" w:hSpace="187" w:wrap="around" w:vAnchor="text" w:hAnchor="page" w:x="2586" w:y="1319" w:anchorLock="1"/>
        <w:rPr>
          <w:rFonts w:ascii="Helvetica" w:hAnsi="Helvetica"/>
          <w:sz w:val="14"/>
        </w:rPr>
      </w:pPr>
    </w:p>
    <w:p w:rsidR="00112E4E" w:rsidRDefault="00112E4E" w:rsidP="00FF0C0E">
      <w:pPr>
        <w:framePr w:w="8078" w:h="3310" w:hRule="exact" w:hSpace="187" w:wrap="around" w:vAnchor="text" w:hAnchor="page" w:x="2586" w:y="1319" w:anchorLock="1"/>
        <w:tabs>
          <w:tab w:val="left" w:pos="90"/>
          <w:tab w:val="left" w:pos="1350"/>
        </w:tabs>
        <w:spacing w:line="360" w:lineRule="auto"/>
      </w:pPr>
      <w:r>
        <w:rPr>
          <w:rFonts w:ascii="Helvetica" w:hAnsi="Helvetica"/>
          <w:sz w:val="24"/>
        </w:rPr>
        <w:tab/>
        <w:t>To:</w:t>
      </w:r>
      <w:r>
        <w:tab/>
        <w:t>Studies and Plans Squad</w:t>
      </w:r>
      <w:r w:rsidR="00027297">
        <w:t>s                PPM 70-06</w:t>
      </w:r>
    </w:p>
    <w:p w:rsidR="00112E4E" w:rsidRDefault="00112E4E" w:rsidP="00FF0C0E">
      <w:pPr>
        <w:framePr w:w="8078" w:h="3310" w:hRule="exact" w:hSpace="187" w:wrap="around" w:vAnchor="text" w:hAnchor="page" w:x="2586" w:y="1319" w:anchorLock="1"/>
        <w:tabs>
          <w:tab w:val="left" w:pos="90"/>
          <w:tab w:val="left" w:pos="1350"/>
        </w:tabs>
        <w:spacing w:after="40" w:line="360" w:lineRule="auto"/>
      </w:pPr>
      <w:r>
        <w:rPr>
          <w:rFonts w:ascii="Helvetica" w:hAnsi="Helvetica"/>
          <w:sz w:val="24"/>
        </w:rPr>
        <w:tab/>
        <w:t>From:</w:t>
      </w:r>
      <w:r>
        <w:tab/>
        <w:t>James M. Sullivan</w:t>
      </w:r>
      <w:r w:rsidR="00027297">
        <w:t xml:space="preserve">      </w:t>
      </w:r>
      <w:r w:rsidR="00FF0C0E">
        <w:t xml:space="preserve">    </w:t>
      </w:r>
      <w:r w:rsidR="00027297">
        <w:t xml:space="preserve">          Revised:  </w:t>
      </w:r>
      <w:r w:rsidR="00FF0C0E">
        <w:t>Scott Neihart</w:t>
      </w:r>
    </w:p>
    <w:p w:rsidR="00112E4E" w:rsidRDefault="00112E4E" w:rsidP="00FF0C0E">
      <w:pPr>
        <w:framePr w:w="8078" w:h="3310" w:hRule="exact" w:hSpace="187" w:wrap="around" w:vAnchor="text" w:hAnchor="page" w:x="2586" w:y="1319" w:anchorLock="1"/>
        <w:tabs>
          <w:tab w:val="left" w:pos="90"/>
          <w:tab w:val="left" w:pos="1350"/>
        </w:tabs>
        <w:spacing w:after="40"/>
      </w:pPr>
      <w:r>
        <w:rPr>
          <w:rFonts w:ascii="Helvetica" w:hAnsi="Helvetica"/>
          <w:sz w:val="24"/>
        </w:rPr>
        <w:tab/>
        <w:t>Subject:</w:t>
      </w:r>
      <w:r>
        <w:tab/>
        <w:t>Shoulder Detour Lengths and Materials</w:t>
      </w:r>
    </w:p>
    <w:p w:rsidR="00027297" w:rsidRDefault="00027297" w:rsidP="00FF0C0E">
      <w:pPr>
        <w:framePr w:w="8078" w:h="3310" w:hRule="exact" w:hSpace="187" w:wrap="around" w:vAnchor="text" w:hAnchor="page" w:x="2586" w:y="1319" w:anchorLock="1"/>
        <w:tabs>
          <w:tab w:val="left" w:pos="90"/>
          <w:tab w:val="left" w:pos="1350"/>
        </w:tabs>
        <w:rPr>
          <w:rFonts w:ascii="Helvetica" w:hAnsi="Helvetica"/>
          <w:sz w:val="24"/>
        </w:rPr>
      </w:pPr>
    </w:p>
    <w:p w:rsidR="00112E4E" w:rsidRDefault="00112E4E" w:rsidP="00FF0C0E">
      <w:pPr>
        <w:framePr w:w="8078" w:h="3310" w:hRule="exact" w:hSpace="187" w:wrap="around" w:vAnchor="text" w:hAnchor="page" w:x="2586" w:y="1319" w:anchorLock="1"/>
        <w:tabs>
          <w:tab w:val="left" w:pos="90"/>
          <w:tab w:val="left" w:pos="1350"/>
        </w:tabs>
      </w:pPr>
      <w:r>
        <w:rPr>
          <w:rFonts w:ascii="Helvetica" w:hAnsi="Helvetica"/>
          <w:sz w:val="24"/>
        </w:rPr>
        <w:tab/>
        <w:t>Date:</w:t>
      </w:r>
      <w:r>
        <w:tab/>
        <w:t>November 8, 2001</w:t>
      </w:r>
      <w:r w:rsidR="002402F8">
        <w:t xml:space="preserve">      </w:t>
      </w:r>
      <w:r w:rsidR="00FF0C0E">
        <w:t xml:space="preserve">     </w:t>
      </w:r>
      <w:bookmarkStart w:id="0" w:name="_GoBack"/>
      <w:bookmarkEnd w:id="0"/>
      <w:r w:rsidR="002402F8">
        <w:t xml:space="preserve">       </w:t>
      </w:r>
      <w:r w:rsidR="00027297">
        <w:t>Revis</w:t>
      </w:r>
      <w:r w:rsidR="00FF0C0E">
        <w:t>ed</w:t>
      </w:r>
      <w:r w:rsidR="00027297">
        <w:t xml:space="preserve"> Date:</w:t>
      </w:r>
      <w:r w:rsidR="002402F8">
        <w:t xml:space="preserve"> </w:t>
      </w:r>
      <w:r w:rsidR="00FF0C0E">
        <w:t>April 1, 2016</w:t>
      </w:r>
    </w:p>
    <w:p w:rsidR="00112E4E" w:rsidRDefault="00112E4E">
      <w:pPr>
        <w:framePr w:w="8078" w:h="3310" w:hRule="exact" w:hSpace="187" w:wrap="around" w:vAnchor="text" w:hAnchor="page" w:x="2586" w:y="1319" w:anchorLock="1"/>
        <w:tabs>
          <w:tab w:val="right" w:leader="underscore" w:pos="7740"/>
        </w:tabs>
        <w:rPr>
          <w:rFonts w:ascii="CG Times (W1)" w:hAnsi="CG Times (W1)"/>
          <w:b/>
          <w:sz w:val="24"/>
        </w:rPr>
      </w:pPr>
      <w:r>
        <w:rPr>
          <w:rFonts w:ascii="CG Times (W1)" w:hAnsi="CG Times (W1)"/>
          <w:b/>
          <w:sz w:val="24"/>
        </w:rPr>
        <w:tab/>
      </w:r>
    </w:p>
    <w:p w:rsidR="00112E4E" w:rsidRDefault="00112E4E">
      <w:pPr>
        <w:framePr w:w="8078" w:h="3310" w:hRule="exact" w:hSpace="187" w:wrap="around" w:vAnchor="text" w:hAnchor="page" w:x="2586" w:y="1319" w:anchorLock="1"/>
        <w:ind w:left="-720"/>
      </w:pPr>
    </w:p>
    <w:p w:rsidR="00112E4E" w:rsidRDefault="00112E4E">
      <w:pPr>
        <w:ind w:left="720"/>
        <w:rPr>
          <w:rFonts w:ascii="CG Times (W1)" w:hAnsi="CG Times (W1)"/>
        </w:rPr>
        <w:sectPr w:rsidR="00112E4E">
          <w:pgSz w:w="12240" w:h="15840"/>
          <w:pgMar w:top="317" w:right="1800" w:bottom="1440" w:left="1800" w:header="720" w:footer="720" w:gutter="0"/>
          <w:cols w:space="720"/>
        </w:sectPr>
      </w:pPr>
    </w:p>
    <w:p w:rsidR="00FF0C0E" w:rsidRPr="00FF0C0E" w:rsidRDefault="00FF0C0E" w:rsidP="00FF0C0E">
      <w:pPr>
        <w:ind w:left="900"/>
        <w:rPr>
          <w:b/>
          <w:sz w:val="28"/>
          <w:szCs w:val="28"/>
        </w:rPr>
      </w:pPr>
      <w:r w:rsidRPr="00FF0C0E">
        <w:rPr>
          <w:b/>
          <w:sz w:val="28"/>
          <w:szCs w:val="28"/>
        </w:rPr>
        <w:t>PLAN PREPARATION MEMORANDUM 70-06</w:t>
      </w:r>
    </w:p>
    <w:p w:rsidR="00FF0C0E" w:rsidRPr="00FF0C0E" w:rsidRDefault="00FF0C0E" w:rsidP="00FF0C0E">
      <w:pPr>
        <w:ind w:left="900"/>
      </w:pPr>
    </w:p>
    <w:p w:rsidR="00FF0C0E" w:rsidRPr="00FF0C0E" w:rsidRDefault="00FF0C0E" w:rsidP="00FF0C0E">
      <w:pPr>
        <w:ind w:left="900"/>
      </w:pPr>
      <w:r w:rsidRPr="00FF0C0E">
        <w:t xml:space="preserve">Studies and Plans Members should utilize BDE Chapter 55 during the design of shoulder detour lengths.  Numerous examples of State construction Plan Details exist in CADD files and should also </w:t>
      </w:r>
      <w:proofErr w:type="gramStart"/>
      <w:r w:rsidRPr="00FF0C0E">
        <w:t>be</w:t>
      </w:r>
      <w:proofErr w:type="gramEnd"/>
      <w:r w:rsidRPr="00FF0C0E">
        <w:t xml:space="preserve"> a helpful tool during design.</w:t>
      </w:r>
    </w:p>
    <w:p w:rsidR="00FF0C0E" w:rsidRPr="00FF0C0E" w:rsidRDefault="00FF0C0E" w:rsidP="00FF0C0E">
      <w:pPr>
        <w:ind w:left="900"/>
      </w:pPr>
    </w:p>
    <w:p w:rsidR="00FF0C0E" w:rsidRPr="00FF0C0E" w:rsidRDefault="00FF0C0E" w:rsidP="00FF0C0E">
      <w:pPr>
        <w:ind w:left="900"/>
      </w:pPr>
      <w:r w:rsidRPr="00FF0C0E">
        <w:t>To avoid conflicts with a stop condition, the shoulder detour should not extend beyond the stop bar.  However, consideration of an aggregate wedge should be given to correct any shoulder drop-offs.</w:t>
      </w:r>
    </w:p>
    <w:p w:rsidR="00FF0C0E" w:rsidRPr="00FF0C0E" w:rsidRDefault="00FF0C0E" w:rsidP="00FF0C0E">
      <w:pPr>
        <w:ind w:left="900"/>
      </w:pPr>
    </w:p>
    <w:p w:rsidR="00FF0C0E" w:rsidRPr="00FF0C0E" w:rsidRDefault="00FF0C0E" w:rsidP="00FF0C0E">
      <w:pPr>
        <w:ind w:left="900"/>
      </w:pPr>
      <w:r w:rsidRPr="00FF0C0E">
        <w:t xml:space="preserve">For shoulder detours, the designer should normally give the contractor the option of whether to use hot-mix asphalt base course or </w:t>
      </w:r>
      <w:proofErr w:type="spellStart"/>
      <w:r w:rsidRPr="00FF0C0E">
        <w:t>pcc</w:t>
      </w:r>
      <w:proofErr w:type="spellEnd"/>
      <w:r w:rsidRPr="00FF0C0E">
        <w:t xml:space="preserve"> base course.  Thickness designs for each can be provided by the District’s pavement designer, and the alternate designs conveyed in the District Special Provision “Base Course (Option)”.  Exceptions to this practice should be coordinated through the Project Engineer.</w:t>
      </w:r>
    </w:p>
    <w:p w:rsidR="00FF0C0E" w:rsidRPr="00FF0C0E" w:rsidRDefault="00FF0C0E" w:rsidP="00FF0C0E">
      <w:pPr>
        <w:ind w:left="900"/>
      </w:pPr>
    </w:p>
    <w:p w:rsidR="00FF0C0E" w:rsidRPr="00FF0C0E" w:rsidRDefault="00FF0C0E" w:rsidP="00FF0C0E">
      <w:pPr>
        <w:ind w:left="900"/>
      </w:pPr>
    </w:p>
    <w:p w:rsidR="00FF0C0E" w:rsidRPr="00FF0C0E" w:rsidRDefault="00FF0C0E" w:rsidP="00FF0C0E">
      <w:pPr>
        <w:ind w:left="900"/>
      </w:pPr>
      <w:r w:rsidRPr="00FF0C0E">
        <w:t>70-06.doc</w:t>
      </w:r>
    </w:p>
    <w:sectPr w:rsidR="00FF0C0E" w:rsidRPr="00FF0C0E">
      <w:type w:val="continuous"/>
      <w:pgSz w:w="12240" w:h="15840" w:code="1"/>
      <w:pgMar w:top="1440" w:right="1800" w:bottom="1440" w:left="180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297"/>
    <w:rsid w:val="00027297"/>
    <w:rsid w:val="00112E4E"/>
    <w:rsid w:val="002402F8"/>
    <w:rsid w:val="002546BA"/>
    <w:rsid w:val="0082260B"/>
    <w:rsid w:val="00AB234D"/>
    <w:rsid w:val="00FF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2546BA"/>
    <w:rPr>
      <w:rFonts w:ascii="Tahoma" w:hAnsi="Tahoma" w:cs="Tahoma"/>
      <w:sz w:val="16"/>
      <w:szCs w:val="16"/>
    </w:rPr>
  </w:style>
  <w:style w:type="character" w:customStyle="1" w:styleId="BalloonTextChar">
    <w:name w:val="Balloon Text Char"/>
    <w:basedOn w:val="DefaultParagraphFont"/>
    <w:link w:val="BalloonText"/>
    <w:rsid w:val="002546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2546BA"/>
    <w:rPr>
      <w:rFonts w:ascii="Tahoma" w:hAnsi="Tahoma" w:cs="Tahoma"/>
      <w:sz w:val="16"/>
      <w:szCs w:val="16"/>
    </w:rPr>
  </w:style>
  <w:style w:type="character" w:customStyle="1" w:styleId="BalloonTextChar">
    <w:name w:val="Balloon Text Char"/>
    <w:basedOn w:val="DefaultParagraphFont"/>
    <w:link w:val="BalloonText"/>
    <w:rsid w:val="00254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5ntfs1\template\std\DOTMEMO2-IDOT%20Memo-Two%20Line%20Subje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DOTMEMO2-IDOT Memo-Two Line Subject.DOT</Template>
  <TotalTime>3</TotalTime>
  <Pages>1</Pages>
  <Words>162</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IDOT MEMO - Two Line Subject/NO PASSWORD</vt:lpstr>
    </vt:vector>
  </TitlesOfParts>
  <Company>IDOT</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IDOT MEMO - Two Line Subject/NO PASSWORD</dc:title>
  <dc:creator>WOODCS</dc:creator>
  <cp:lastModifiedBy>Smith, Amy L</cp:lastModifiedBy>
  <cp:revision>3</cp:revision>
  <cp:lastPrinted>2004-04-20T20:44:00Z</cp:lastPrinted>
  <dcterms:created xsi:type="dcterms:W3CDTF">2016-07-22T14:37:00Z</dcterms:created>
  <dcterms:modified xsi:type="dcterms:W3CDTF">2016-07-22T14:40:00Z</dcterms:modified>
</cp:coreProperties>
</file>