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2B" w:rsidRDefault="003461A9">
      <w:pPr>
        <w:framePr w:hSpace="187" w:wrap="around" w:hAnchor="page" w:x="1052" w:y="433" w:anchorLock="1"/>
      </w:pPr>
      <w:r>
        <w:rPr>
          <w:noProof/>
        </w:rPr>
        <w:drawing>
          <wp:inline distT="0" distB="0" distL="0" distR="0">
            <wp:extent cx="583882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32B" w:rsidRDefault="00FE332B"/>
    <w:p w:rsidR="00FE332B" w:rsidRDefault="00FE332B">
      <w:pPr>
        <w:framePr w:w="8078" w:h="3168" w:hRule="exact" w:hSpace="187" w:wrap="around" w:vAnchor="text" w:hAnchor="page" w:x="2586" w:y="1319" w:anchorLock="1"/>
        <w:tabs>
          <w:tab w:val="left" w:pos="90"/>
        </w:tabs>
        <w:rPr>
          <w:rFonts w:ascii="Helvetica" w:hAnsi="Helvetica"/>
          <w:sz w:val="30"/>
        </w:rPr>
      </w:pPr>
      <w:r>
        <w:rPr>
          <w:rFonts w:ascii="Helvetica" w:hAnsi="Helvetica"/>
          <w:sz w:val="36"/>
        </w:rPr>
        <w:tab/>
      </w:r>
      <w:r>
        <w:rPr>
          <w:rFonts w:ascii="Helvetica" w:hAnsi="Helvetica"/>
          <w:b/>
          <w:sz w:val="36"/>
        </w:rPr>
        <w:t>Memorandum</w:t>
      </w:r>
    </w:p>
    <w:p w:rsidR="00FE332B" w:rsidRDefault="00FE332B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ind w:right="-120"/>
        <w:rPr>
          <w:rFonts w:ascii="Helvetica" w:hAnsi="Helvetica"/>
          <w:sz w:val="26"/>
        </w:rPr>
      </w:pPr>
      <w:r>
        <w:rPr>
          <w:rFonts w:ascii="Helvetica" w:hAnsi="Helvetica"/>
          <w:sz w:val="30"/>
        </w:rPr>
        <w:tab/>
      </w:r>
    </w:p>
    <w:p w:rsidR="00FE332B" w:rsidRDefault="00FE332B">
      <w:pPr>
        <w:framePr w:w="8078" w:h="3168" w:hRule="exact" w:hSpace="187" w:wrap="around" w:vAnchor="text" w:hAnchor="page" w:x="2586" w:y="1319" w:anchorLock="1"/>
        <w:rPr>
          <w:rFonts w:ascii="Helvetica" w:hAnsi="Helvetica"/>
          <w:sz w:val="14"/>
        </w:rPr>
      </w:pPr>
    </w:p>
    <w:p w:rsidR="00FE332B" w:rsidRDefault="00FE332B">
      <w:pPr>
        <w:framePr w:w="8078" w:h="3168" w:hRule="exact" w:hSpace="187" w:wrap="around" w:vAnchor="text" w:hAnchor="page" w:x="2586" w:y="1319" w:anchorLock="1"/>
        <w:tabs>
          <w:tab w:val="left" w:pos="90"/>
          <w:tab w:val="left" w:pos="1710"/>
        </w:tabs>
        <w:spacing w:line="360" w:lineRule="auto"/>
      </w:pPr>
      <w:r>
        <w:rPr>
          <w:rFonts w:ascii="Helvetica" w:hAnsi="Helvetica"/>
          <w:sz w:val="24"/>
        </w:rPr>
        <w:tab/>
        <w:t>To: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instrText xml:space="preserve"> FORMTEXT </w:instrText>
      </w:r>
      <w:r>
        <w:fldChar w:fldCharType="separate"/>
      </w:r>
      <w:bookmarkStart w:id="1" w:name="_GoBack"/>
      <w:r>
        <w:t>Studies and Plans Squads                     PPM 40-02</w:t>
      </w:r>
      <w:bookmarkEnd w:id="1"/>
      <w:r>
        <w:fldChar w:fldCharType="end"/>
      </w:r>
      <w:bookmarkEnd w:id="0"/>
    </w:p>
    <w:p w:rsidR="00FE332B" w:rsidRDefault="00FE332B">
      <w:pPr>
        <w:framePr w:w="8078" w:h="3168" w:hRule="exact" w:hSpace="187" w:wrap="around" w:vAnchor="text" w:hAnchor="page" w:x="2586" w:y="1319" w:anchorLock="1"/>
        <w:tabs>
          <w:tab w:val="left" w:pos="90"/>
          <w:tab w:val="left" w:pos="1710"/>
        </w:tabs>
        <w:spacing w:after="40" w:line="360" w:lineRule="auto"/>
      </w:pPr>
      <w:r>
        <w:rPr>
          <w:rFonts w:ascii="Helvetica" w:hAnsi="Helvetica"/>
          <w:sz w:val="24"/>
        </w:rPr>
        <w:tab/>
        <w:t>From: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C. D. Latham                               Revised By:  Tim Brandenburg</w:t>
      </w:r>
      <w:r>
        <w:fldChar w:fldCharType="end"/>
      </w:r>
      <w:bookmarkEnd w:id="2"/>
    </w:p>
    <w:p w:rsidR="00FE332B" w:rsidRDefault="00FE332B">
      <w:pPr>
        <w:framePr w:w="8078" w:h="3168" w:hRule="exact" w:hSpace="187" w:wrap="around" w:vAnchor="text" w:hAnchor="page" w:x="2586" w:y="1319" w:anchorLock="1"/>
        <w:tabs>
          <w:tab w:val="left" w:pos="90"/>
          <w:tab w:val="left" w:pos="1710"/>
        </w:tabs>
        <w:spacing w:after="40" w:line="360" w:lineRule="auto"/>
      </w:pPr>
      <w:r>
        <w:rPr>
          <w:rFonts w:ascii="Helvetica" w:hAnsi="Helvetica"/>
          <w:sz w:val="24"/>
        </w:rPr>
        <w:tab/>
        <w:t>Subject: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Full Depth Asphalt on Typical Cross Sections</w:t>
      </w:r>
      <w:r>
        <w:fldChar w:fldCharType="end"/>
      </w:r>
      <w:bookmarkEnd w:id="3"/>
    </w:p>
    <w:p w:rsidR="00FE332B" w:rsidRDefault="00FE332B">
      <w:pPr>
        <w:framePr w:w="8078" w:h="3168" w:hRule="exact" w:hSpace="187" w:wrap="around" w:vAnchor="text" w:hAnchor="page" w:x="2586" w:y="1319" w:anchorLock="1"/>
        <w:tabs>
          <w:tab w:val="left" w:pos="90"/>
          <w:tab w:val="left" w:pos="1710"/>
        </w:tabs>
      </w:pPr>
      <w:r>
        <w:rPr>
          <w:rFonts w:ascii="Helvetica" w:hAnsi="Helvetica"/>
          <w:sz w:val="24"/>
        </w:rPr>
        <w:tab/>
        <w:t>Date: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November 1, 1989                Revision Date:</w:t>
      </w:r>
      <w:r w:rsidR="00ED15B1">
        <w:rPr>
          <w:noProof/>
        </w:rPr>
        <w:t xml:space="preserve"> December 5, 2006</w:t>
      </w:r>
      <w:r>
        <w:fldChar w:fldCharType="end"/>
      </w:r>
      <w:bookmarkEnd w:id="4"/>
    </w:p>
    <w:p w:rsidR="00FE332B" w:rsidRDefault="00FE332B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rPr>
          <w:rFonts w:ascii="CG Times (W1)" w:hAnsi="CG Times (W1)"/>
          <w:b/>
          <w:sz w:val="24"/>
        </w:rPr>
      </w:pPr>
      <w:r>
        <w:rPr>
          <w:rFonts w:ascii="CG Times (W1)" w:hAnsi="CG Times (W1)"/>
          <w:b/>
          <w:sz w:val="24"/>
        </w:rPr>
        <w:tab/>
      </w:r>
    </w:p>
    <w:p w:rsidR="00FE332B" w:rsidRDefault="00FE332B">
      <w:pPr>
        <w:framePr w:w="8078" w:h="3168" w:hRule="exact" w:hSpace="187" w:wrap="around" w:vAnchor="text" w:hAnchor="page" w:x="2586" w:y="1319" w:anchorLock="1"/>
        <w:ind w:left="-720"/>
      </w:pPr>
    </w:p>
    <w:p w:rsidR="00FE332B" w:rsidRDefault="00FE332B">
      <w:pPr>
        <w:ind w:left="720"/>
        <w:rPr>
          <w:rFonts w:ascii="CG Times (W1)" w:hAnsi="CG Times (W1)"/>
        </w:rPr>
        <w:sectPr w:rsidR="00FE332B">
          <w:pgSz w:w="12240" w:h="15840"/>
          <w:pgMar w:top="317" w:right="1800" w:bottom="1440" w:left="1800" w:header="720" w:footer="720" w:gutter="0"/>
          <w:cols w:space="720"/>
        </w:sectPr>
      </w:pPr>
    </w:p>
    <w:p w:rsidR="00FE332B" w:rsidRPr="00FE332B" w:rsidRDefault="00FE332B">
      <w:pPr>
        <w:ind w:left="900"/>
        <w:rPr>
          <w:b/>
          <w:sz w:val="28"/>
          <w:szCs w:val="28"/>
        </w:rPr>
      </w:pPr>
      <w:r w:rsidRPr="00FE332B">
        <w:rPr>
          <w:b/>
          <w:sz w:val="28"/>
          <w:szCs w:val="28"/>
        </w:rPr>
        <w:t>PLAN PREPARATION MEMORANDUM 40-02</w:t>
      </w:r>
    </w:p>
    <w:p w:rsidR="00FE332B" w:rsidRPr="00FE332B" w:rsidRDefault="00FE332B">
      <w:pPr>
        <w:ind w:left="900"/>
        <w:rPr>
          <w:b/>
        </w:rPr>
      </w:pPr>
    </w:p>
    <w:p w:rsidR="00FE332B" w:rsidRPr="00FE332B" w:rsidRDefault="00FE332B">
      <w:pPr>
        <w:ind w:left="900"/>
        <w:rPr>
          <w:b/>
        </w:rPr>
      </w:pPr>
    </w:p>
    <w:p w:rsidR="00FE332B" w:rsidRPr="00FE332B" w:rsidRDefault="00FE332B">
      <w:pPr>
        <w:ind w:left="900"/>
        <w:rPr>
          <w:b/>
        </w:rPr>
      </w:pPr>
      <w:r w:rsidRPr="00FE332B">
        <w:rPr>
          <w:b/>
        </w:rPr>
        <w:t>BACKGROUND AND PROCEDURE</w:t>
      </w:r>
    </w:p>
    <w:p w:rsidR="00FE332B" w:rsidRDefault="00FE332B">
      <w:pPr>
        <w:ind w:left="900"/>
      </w:pPr>
    </w:p>
    <w:p w:rsidR="00FE332B" w:rsidRDefault="00FE332B">
      <w:pPr>
        <w:ind w:left="900"/>
      </w:pPr>
      <w:r>
        <w:t>For pavements designed using the mechanistic method for flexible pavement design, the pay item for the</w:t>
      </w:r>
      <w:r w:rsidR="00ED15B1">
        <w:t xml:space="preserve"> pavement is “Hot-Mix Asphalt</w:t>
      </w:r>
      <w:r>
        <w:t xml:space="preserve"> </w:t>
      </w:r>
      <w:r w:rsidR="00F26637">
        <w:t>P</w:t>
      </w:r>
      <w:r>
        <w:t>avement (Full Depth)</w:t>
      </w:r>
      <w:r w:rsidR="00ED15B1">
        <w:t>”</w:t>
      </w:r>
      <w:r>
        <w:t xml:space="preserve"> of the thickness specified.  This is what should </w:t>
      </w:r>
      <w:r w:rsidR="00ED15B1">
        <w:t>be shown on the lead arrow pointing</w:t>
      </w:r>
      <w:r>
        <w:t xml:space="preserve"> to the pavement on </w:t>
      </w:r>
      <w:r w:rsidR="00ED15B1">
        <w:t xml:space="preserve">Proposed </w:t>
      </w:r>
      <w:r>
        <w:t>Typical Cross Sections.</w:t>
      </w:r>
    </w:p>
    <w:p w:rsidR="00FE332B" w:rsidRDefault="00FE332B">
      <w:pPr>
        <w:ind w:left="900"/>
      </w:pPr>
    </w:p>
    <w:p w:rsidR="00FE332B" w:rsidRDefault="00FE332B">
      <w:pPr>
        <w:ind w:left="900"/>
      </w:pPr>
      <w:r>
        <w:t xml:space="preserve">Under the pay item on the lead arrow, or by a note elsewhere on the </w:t>
      </w:r>
      <w:r w:rsidR="00ED15B1">
        <w:t xml:space="preserve">Proposed </w:t>
      </w:r>
      <w:r>
        <w:t>Typical, show what the full depth asphalt pavement con</w:t>
      </w:r>
      <w:r w:rsidR="00ED15B1">
        <w:t>sists of.  Such as</w:t>
      </w:r>
      <w:r>
        <w:t>:</w:t>
      </w:r>
    </w:p>
    <w:p w:rsidR="00FE332B" w:rsidRDefault="00FE332B">
      <w:pPr>
        <w:ind w:left="900"/>
      </w:pPr>
    </w:p>
    <w:p w:rsidR="00FE332B" w:rsidRDefault="00FE332B">
      <w:pPr>
        <w:ind w:left="900"/>
      </w:pPr>
      <w:r>
        <w:t>(Con</w:t>
      </w:r>
      <w:r w:rsidR="00ED15B1">
        <w:t xml:space="preserve">sist of 1½” Hot-Mix Asphalt </w:t>
      </w:r>
      <w:r>
        <w:t xml:space="preserve">Surface Course, Superpave, Mixture D, N90, and two </w:t>
      </w:r>
      <w:r w:rsidR="00ED15B1">
        <w:t xml:space="preserve">lifts of 2½” Hot-Mix Asphalt Binder Course, Superpave, </w:t>
      </w:r>
      <w:r>
        <w:t>IL-19.0, N90.</w:t>
      </w:r>
      <w:r w:rsidR="00ED15B1">
        <w:t>)</w:t>
      </w:r>
    </w:p>
    <w:p w:rsidR="00FE332B" w:rsidRDefault="00FE332B">
      <w:pPr>
        <w:ind w:left="900"/>
      </w:pPr>
    </w:p>
    <w:p w:rsidR="00FE332B" w:rsidRDefault="00FE332B">
      <w:pPr>
        <w:ind w:left="900"/>
      </w:pPr>
      <w:r>
        <w:t>Do not show a line that separates the binder and surface in the pavement, and do not show the lbs. per square yard of mix since it is paid for by square yards.</w:t>
      </w:r>
    </w:p>
    <w:p w:rsidR="00FE332B" w:rsidRDefault="00FE332B">
      <w:pPr>
        <w:ind w:left="900"/>
      </w:pPr>
    </w:p>
    <w:p w:rsidR="00FE332B" w:rsidRDefault="00FE332B">
      <w:pPr>
        <w:ind w:left="900"/>
      </w:pPr>
      <w:r>
        <w:t>District General Note 406H will also indicate the differ</w:t>
      </w:r>
      <w:r w:rsidR="00ED15B1">
        <w:t>ent lifts of hot-mix asphalt</w:t>
      </w:r>
      <w:r>
        <w:t xml:space="preserve"> required in the Full Depth Pavement Design.</w:t>
      </w:r>
    </w:p>
    <w:p w:rsidR="00FE332B" w:rsidRDefault="00FE332B">
      <w:pPr>
        <w:ind w:left="900"/>
      </w:pPr>
    </w:p>
    <w:p w:rsidR="00FE332B" w:rsidRDefault="00FE332B">
      <w:pPr>
        <w:ind w:left="900"/>
      </w:pPr>
    </w:p>
    <w:p w:rsidR="00FE332B" w:rsidRDefault="00FE332B">
      <w:pPr>
        <w:ind w:left="900"/>
      </w:pPr>
    </w:p>
    <w:p w:rsidR="00FE332B" w:rsidRDefault="00FE332B">
      <w:pPr>
        <w:ind w:left="900"/>
      </w:pPr>
    </w:p>
    <w:p w:rsidR="00FE332B" w:rsidRDefault="00FE332B">
      <w:pPr>
        <w:ind w:left="900"/>
      </w:pPr>
      <w:r>
        <w:t>40-02.doc</w:t>
      </w:r>
    </w:p>
    <w:sectPr w:rsidR="00FE332B">
      <w:type w:val="continuous"/>
      <w:pgSz w:w="12240" w:h="15840"/>
      <w:pgMar w:top="1440" w:right="1800" w:bottom="1440" w:left="180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n9vyh1JQKaWIxD72ZklSW4SfJw=" w:salt="zJK74Nb5+8jhFFJ1k9f7C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67"/>
    <w:rsid w:val="003461A9"/>
    <w:rsid w:val="00ED15B1"/>
    <w:rsid w:val="00F10E67"/>
    <w:rsid w:val="00F26637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5ntfs1\template\std\DOTMEMO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DOTMEMO1.DOT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IDOT MEMO For a One Line Subject/NO PASSWORD</vt:lpstr>
    </vt:vector>
  </TitlesOfParts>
  <Company>IDOT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IDOT MEMO For a One Line Subject/NO PASSWORD</dc:title>
  <dc:creator>WOODCS</dc:creator>
  <cp:lastModifiedBy>Smith, Amy L</cp:lastModifiedBy>
  <cp:revision>2</cp:revision>
  <cp:lastPrinted>2004-04-27T13:57:00Z</cp:lastPrinted>
  <dcterms:created xsi:type="dcterms:W3CDTF">2016-07-21T20:04:00Z</dcterms:created>
  <dcterms:modified xsi:type="dcterms:W3CDTF">2016-07-21T20:04:00Z</dcterms:modified>
</cp:coreProperties>
</file>