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0"/>
      </w:tblGrid>
      <w:tr w:rsidR="00114993" w:rsidTr="003F1E8D"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:rsidR="00114993" w:rsidRDefault="00D038DB" w:rsidP="00C638F3">
            <w:bookmarkStart w:id="0" w:name="_GoBack"/>
            <w:bookmarkEnd w:id="0"/>
            <w:r w:rsidRPr="00D038DB">
              <w:rPr>
                <w:noProof/>
              </w:rPr>
              <w:drawing>
                <wp:inline distT="0" distB="0" distL="0" distR="0">
                  <wp:extent cx="6080760" cy="1158240"/>
                  <wp:effectExtent l="19050" t="0" r="0" b="0"/>
                  <wp:docPr id="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0760" cy="115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1E8D" w:rsidRDefault="003F1E8D">
      <w:pPr>
        <w:rPr>
          <w:rFonts w:ascii="Helvetica" w:hAnsi="Helvetica"/>
          <w:sz w:val="24"/>
        </w:rPr>
        <w:sectPr w:rsidR="003F1E8D">
          <w:footerReference w:type="default" r:id="rId12"/>
          <w:type w:val="continuous"/>
          <w:pgSz w:w="12240" w:h="15840"/>
          <w:pgMar w:top="720" w:right="1800" w:bottom="1440" w:left="1800" w:header="720" w:footer="720" w:gutter="0"/>
          <w:cols w:space="720"/>
        </w:sectPr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6318"/>
      </w:tblGrid>
      <w:tr w:rsidR="00114993" w:rsidTr="003F1E8D">
        <w:trPr>
          <w:cantSplit/>
          <w:trHeight w:hRule="exact" w:val="403"/>
        </w:trPr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4993" w:rsidRDefault="00114993">
            <w:r>
              <w:rPr>
                <w:rFonts w:ascii="Helvetica" w:hAnsi="Helvetica"/>
                <w:sz w:val="24"/>
              </w:rPr>
              <w:lastRenderedPageBreak/>
              <w:t>To: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4993" w:rsidRDefault="005A1897" w:rsidP="00C94F77">
            <w:r>
              <w:rPr>
                <w:noProof/>
              </w:rPr>
              <w:t>Studies &amp; Plans Squads                         PPM 30-02</w:t>
            </w:r>
          </w:p>
        </w:tc>
      </w:tr>
      <w:tr w:rsidR="00114993" w:rsidTr="003F1E8D">
        <w:trPr>
          <w:cantSplit/>
          <w:trHeight w:hRule="exact" w:val="403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993" w:rsidRDefault="00114993">
            <w:p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>From:</w:t>
            </w: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993" w:rsidRDefault="005A1897" w:rsidP="005841FA">
            <w:r>
              <w:t xml:space="preserve">C. D. Latham                               Revised:  </w:t>
            </w:r>
            <w:r w:rsidR="005841FA">
              <w:t>Nancy Fasig</w:t>
            </w:r>
          </w:p>
        </w:tc>
      </w:tr>
      <w:tr w:rsidR="00114993" w:rsidTr="003F1E8D">
        <w:trPr>
          <w:cantSplit/>
          <w:trHeight w:hRule="exact" w:val="41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993" w:rsidRDefault="00114993">
            <w:p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>Subject:</w:t>
            </w: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993" w:rsidRDefault="005A1897">
            <w:r>
              <w:rPr>
                <w:noProof/>
              </w:rPr>
              <w:t>Repair &amp; Preparation of Base Course</w:t>
            </w:r>
          </w:p>
        </w:tc>
      </w:tr>
      <w:tr w:rsidR="00114993" w:rsidTr="003F1E8D">
        <w:trPr>
          <w:cantSplit/>
          <w:trHeight w:hRule="exact"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993" w:rsidRDefault="00114993">
            <w:p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>Date:</w:t>
            </w: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993" w:rsidRDefault="005A1897">
            <w:r>
              <w:rPr>
                <w:noProof/>
              </w:rPr>
              <w:t xml:space="preserve">December 9, 1985                </w:t>
            </w:r>
            <w:r w:rsidR="005841FA">
              <w:rPr>
                <w:noProof/>
              </w:rPr>
              <w:t>Revised:  January XX, 2013</w:t>
            </w:r>
          </w:p>
        </w:tc>
      </w:tr>
      <w:tr w:rsidR="00114993" w:rsidTr="003F1E8D">
        <w:trPr>
          <w:cantSplit/>
          <w:trHeight w:val="288"/>
        </w:trPr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993" w:rsidRDefault="00114993"/>
        </w:tc>
      </w:tr>
    </w:tbl>
    <w:p w:rsidR="00447C9B" w:rsidRDefault="00447C9B" w:rsidP="003F1E8D">
      <w:pPr>
        <w:spacing w:before="120"/>
        <w:ind w:left="900"/>
        <w:sectPr w:rsidR="00447C9B">
          <w:type w:val="continuous"/>
          <w:pgSz w:w="12240" w:h="15840"/>
          <w:pgMar w:top="720" w:right="1800" w:bottom="1440" w:left="1800" w:header="720" w:footer="720" w:gutter="0"/>
          <w:cols w:space="720"/>
        </w:sectPr>
      </w:pPr>
    </w:p>
    <w:p w:rsidR="00E933BE" w:rsidRDefault="00E933BE" w:rsidP="0094392A">
      <w:pPr>
        <w:ind w:left="907"/>
        <w:rPr>
          <w:szCs w:val="22"/>
        </w:rPr>
        <w:sectPr w:rsidR="00E933BE">
          <w:type w:val="continuous"/>
          <w:pgSz w:w="12240" w:h="15840"/>
          <w:pgMar w:top="720" w:right="1800" w:bottom="1440" w:left="1800" w:header="720" w:footer="720" w:gutter="0"/>
          <w:cols w:space="720"/>
          <w:formProt w:val="0"/>
        </w:sectPr>
      </w:pPr>
    </w:p>
    <w:p w:rsidR="005D0D0E" w:rsidRDefault="005D0D0E" w:rsidP="005D0D0E">
      <w:pPr>
        <w:ind w:left="900"/>
        <w:rPr>
          <w:b/>
          <w:sz w:val="28"/>
        </w:rPr>
      </w:pPr>
      <w:r>
        <w:rPr>
          <w:b/>
          <w:sz w:val="28"/>
        </w:rPr>
        <w:lastRenderedPageBreak/>
        <w:t>PLAN PREPARATION MEMORANDUM 30-02</w:t>
      </w:r>
    </w:p>
    <w:p w:rsidR="005D0D0E" w:rsidRDefault="005D0D0E" w:rsidP="005D0D0E">
      <w:pPr>
        <w:ind w:left="900"/>
      </w:pPr>
    </w:p>
    <w:p w:rsidR="005D0D0E" w:rsidRDefault="005D0D0E" w:rsidP="005D0D0E">
      <w:pPr>
        <w:ind w:left="900"/>
      </w:pPr>
    </w:p>
    <w:p w:rsidR="005D0D0E" w:rsidRDefault="005D0D0E" w:rsidP="005D0D0E">
      <w:pPr>
        <w:ind w:left="900"/>
      </w:pPr>
      <w:r>
        <w:t>This memorandum supplements Section 358 of the Standard Specifications in the repair and preparation of base course prior to resurfacing.</w:t>
      </w:r>
    </w:p>
    <w:p w:rsidR="009E1CD7" w:rsidRDefault="009E1CD7" w:rsidP="005D0D0E">
      <w:pPr>
        <w:ind w:left="900"/>
      </w:pPr>
    </w:p>
    <w:p w:rsidR="005D0D0E" w:rsidRDefault="005D0D0E" w:rsidP="005D0D0E">
      <w:pPr>
        <w:ind w:left="900"/>
      </w:pPr>
      <w:r>
        <w:t>“Preparation of Base” and “Aggregate Base Repair” should be included as pay items</w:t>
      </w:r>
      <w:r w:rsidR="005841FA">
        <w:t xml:space="preserve">, based on condition review, on </w:t>
      </w:r>
      <w:r w:rsidR="00120D34">
        <w:t>all resurfacing</w:t>
      </w:r>
      <w:r w:rsidR="005841FA">
        <w:t xml:space="preserve"> contracts </w:t>
      </w:r>
      <w:r w:rsidR="00120D34">
        <w:t>(3R, 3P, and SMART)</w:t>
      </w:r>
      <w:r>
        <w:t xml:space="preserve"> that have existing aggregate entrances and sideroads which are to be used as bases for the various types of surface courses.</w:t>
      </w:r>
    </w:p>
    <w:p w:rsidR="005D0D0E" w:rsidRDefault="005D0D0E" w:rsidP="005D0D0E">
      <w:pPr>
        <w:ind w:left="900"/>
      </w:pPr>
    </w:p>
    <w:p w:rsidR="005D0D0E" w:rsidRDefault="005D0D0E" w:rsidP="005D0D0E">
      <w:pPr>
        <w:ind w:left="900"/>
      </w:pPr>
      <w:r>
        <w:t>For Aggregate Base Repair, assume one (1) ton per entrance and two (2) tons per sideroad in most cases.</w:t>
      </w:r>
    </w:p>
    <w:p w:rsidR="005D0D0E" w:rsidRDefault="005D0D0E" w:rsidP="005D0D0E">
      <w:pPr>
        <w:ind w:left="900"/>
      </w:pPr>
    </w:p>
    <w:p w:rsidR="005D0D0E" w:rsidRDefault="005D0D0E" w:rsidP="005D0D0E">
      <w:pPr>
        <w:ind w:left="900"/>
      </w:pPr>
      <w:r>
        <w:t>For existing entrances and sideroads that have a bituminous surface, a review should be made of their condition.  If they are in good condition and have good cross section, they may not require any preparation.  If they are in poor condition, a pay item for Hot-Mix Asphalt Surface Removal and Aggregate Base Repair should be included.</w:t>
      </w:r>
    </w:p>
    <w:p w:rsidR="005D0D0E" w:rsidRDefault="005D0D0E" w:rsidP="005D0D0E">
      <w:pPr>
        <w:ind w:left="900"/>
      </w:pPr>
    </w:p>
    <w:p w:rsidR="005D0D0E" w:rsidRDefault="005D0D0E" w:rsidP="005D0D0E">
      <w:pPr>
        <w:ind w:left="900"/>
      </w:pPr>
    </w:p>
    <w:p w:rsidR="005D0D0E" w:rsidRDefault="005D0D0E" w:rsidP="005D0D0E">
      <w:pPr>
        <w:ind w:left="900"/>
      </w:pPr>
    </w:p>
    <w:p w:rsidR="005D0D0E" w:rsidRDefault="005D0D0E" w:rsidP="005D0D0E">
      <w:pPr>
        <w:ind w:left="900"/>
      </w:pPr>
    </w:p>
    <w:p w:rsidR="005D0D0E" w:rsidRDefault="005D0D0E" w:rsidP="005D0D0E">
      <w:pPr>
        <w:ind w:left="900"/>
      </w:pPr>
      <w:r>
        <w:t>30-02.doc</w:t>
      </w:r>
    </w:p>
    <w:p w:rsidR="0094392A" w:rsidRPr="003F1E8D" w:rsidRDefault="0094392A" w:rsidP="003F1E8D">
      <w:pPr>
        <w:pStyle w:val="ListParagraph"/>
        <w:ind w:left="900"/>
        <w:rPr>
          <w:szCs w:val="22"/>
        </w:rPr>
      </w:pPr>
    </w:p>
    <w:sectPr w:rsidR="0094392A" w:rsidRPr="003F1E8D">
      <w:type w:val="continuous"/>
      <w:pgSz w:w="12240" w:h="15840"/>
      <w:pgMar w:top="1440" w:right="1800" w:bottom="1440" w:left="180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897" w:rsidRDefault="005A1897">
      <w:r>
        <w:separator/>
      </w:r>
    </w:p>
  </w:endnote>
  <w:endnote w:type="continuationSeparator" w:id="0">
    <w:p w:rsidR="005A1897" w:rsidRDefault="005A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897" w:rsidRPr="009D10EB" w:rsidRDefault="005A1897" w:rsidP="00CA20A3">
    <w:pPr>
      <w:pStyle w:val="Footer"/>
      <w:rPr>
        <w:vanish/>
        <w:color w:val="FF0000"/>
        <w:sz w:val="16"/>
        <w:szCs w:val="16"/>
      </w:rPr>
    </w:pPr>
    <w:r w:rsidRPr="009D10EB">
      <w:rPr>
        <w:vanish/>
        <w:color w:val="FF0000"/>
        <w:sz w:val="16"/>
        <w:szCs w:val="16"/>
      </w:rPr>
      <w:t xml:space="preserve">Printed </w:t>
    </w:r>
    <w:r w:rsidRPr="009D10EB">
      <w:rPr>
        <w:vanish/>
        <w:color w:val="FF0000"/>
        <w:sz w:val="16"/>
        <w:szCs w:val="16"/>
      </w:rPr>
      <w:fldChar w:fldCharType="begin"/>
    </w:r>
    <w:r w:rsidRPr="009D10EB">
      <w:rPr>
        <w:vanish/>
        <w:color w:val="FF0000"/>
        <w:sz w:val="16"/>
        <w:szCs w:val="16"/>
      </w:rPr>
      <w:instrText xml:space="preserve"> DATE \@ "M/d/yyyy" </w:instrText>
    </w:r>
    <w:r w:rsidRPr="009D10EB">
      <w:rPr>
        <w:vanish/>
        <w:color w:val="FF0000"/>
        <w:sz w:val="16"/>
        <w:szCs w:val="16"/>
      </w:rPr>
      <w:fldChar w:fldCharType="separate"/>
    </w:r>
    <w:r w:rsidR="005C2E7A">
      <w:rPr>
        <w:noProof/>
        <w:vanish/>
        <w:color w:val="FF0000"/>
        <w:sz w:val="16"/>
        <w:szCs w:val="16"/>
      </w:rPr>
      <w:t>7/21/2016</w:t>
    </w:r>
    <w:r w:rsidRPr="009D10EB">
      <w:rPr>
        <w:vanish/>
        <w:color w:val="FF0000"/>
        <w:sz w:val="16"/>
        <w:szCs w:val="16"/>
      </w:rPr>
      <w:fldChar w:fldCharType="end"/>
    </w:r>
    <w:r w:rsidRPr="009D10EB">
      <w:rPr>
        <w:vanish/>
        <w:color w:val="FF0000"/>
        <w:sz w:val="16"/>
        <w:szCs w:val="16"/>
      </w:rPr>
      <w:tab/>
    </w:r>
    <w:r w:rsidRPr="009D10EB">
      <w:rPr>
        <w:vanish/>
        <w:color w:val="FF0000"/>
        <w:sz w:val="16"/>
        <w:szCs w:val="16"/>
      </w:rPr>
      <w:tab/>
      <w:t>IDOT 1030 Template (07/07/08)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897" w:rsidRDefault="005A1897">
      <w:r>
        <w:separator/>
      </w:r>
    </w:p>
  </w:footnote>
  <w:footnote w:type="continuationSeparator" w:id="0">
    <w:p w:rsidR="005A1897" w:rsidRDefault="005A1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4050F"/>
    <w:multiLevelType w:val="hybridMultilevel"/>
    <w:tmpl w:val="7102C51C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93"/>
    <w:rsid w:val="00114993"/>
    <w:rsid w:val="00120D34"/>
    <w:rsid w:val="00182C20"/>
    <w:rsid w:val="00287918"/>
    <w:rsid w:val="00366968"/>
    <w:rsid w:val="003D1A4D"/>
    <w:rsid w:val="003F1E8D"/>
    <w:rsid w:val="003F419F"/>
    <w:rsid w:val="00447C9B"/>
    <w:rsid w:val="005760FF"/>
    <w:rsid w:val="005841FA"/>
    <w:rsid w:val="005A1897"/>
    <w:rsid w:val="005A66CA"/>
    <w:rsid w:val="005C2E7A"/>
    <w:rsid w:val="005D0D0E"/>
    <w:rsid w:val="006B1F4B"/>
    <w:rsid w:val="00744423"/>
    <w:rsid w:val="007D4990"/>
    <w:rsid w:val="00912F07"/>
    <w:rsid w:val="0094392A"/>
    <w:rsid w:val="00976B98"/>
    <w:rsid w:val="009D10EB"/>
    <w:rsid w:val="009E1CD7"/>
    <w:rsid w:val="00B61B6F"/>
    <w:rsid w:val="00BF36C8"/>
    <w:rsid w:val="00C000AE"/>
    <w:rsid w:val="00C32015"/>
    <w:rsid w:val="00C466E6"/>
    <w:rsid w:val="00C638F3"/>
    <w:rsid w:val="00C94F77"/>
    <w:rsid w:val="00CA20A3"/>
    <w:rsid w:val="00CF5895"/>
    <w:rsid w:val="00D038DB"/>
    <w:rsid w:val="00D208A0"/>
    <w:rsid w:val="00DC07A6"/>
    <w:rsid w:val="00DF079A"/>
    <w:rsid w:val="00E14D7C"/>
    <w:rsid w:val="00E307B4"/>
    <w:rsid w:val="00E933BE"/>
    <w:rsid w:val="00F4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121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20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20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87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79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1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121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20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20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87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79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1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Label_x0020_Size xmlns="B2A11A5E-9A37-4D04-9564-0BE87FE38694" xsi:nil="true"/>
    <Template_x0020_Type xmlns="B2A11A5E-9A37-4D04-9564-0BE87FE38694">Memorandum</Template_x0020_Type>
    <Template_x0020_No_x002e_ xmlns="B2A11A5E-9A37-4D04-9564-0BE87FE38694">IDOT 1030</Template_x0020_No_x002e_>
    <Remarks xmlns="B2A11A5E-9A37-4D04-9564-0BE87FE386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A64BA3C46B459910160FFD0BA4E0" ma:contentTypeVersion="4" ma:contentTypeDescription="Create a new document." ma:contentTypeScope="" ma:versionID="bb02a7e57c4caa7f15444e584bddb88c">
  <xsd:schema xmlns:xsd="http://www.w3.org/2001/XMLSchema" xmlns:p="http://schemas.microsoft.com/office/2006/metadata/properties" xmlns:ns2="B2A11A5E-9A37-4D04-9564-0BE87FE38694" targetNamespace="http://schemas.microsoft.com/office/2006/metadata/properties" ma:root="true" ma:fieldsID="eb1d8409ffe2cd83c92995cb81ab5302" ns2:_="">
    <xsd:import namespace="B2A11A5E-9A37-4D04-9564-0BE87FE38694"/>
    <xsd:element name="properties">
      <xsd:complexType>
        <xsd:sequence>
          <xsd:element name="documentManagement">
            <xsd:complexType>
              <xsd:all>
                <xsd:element ref="ns2:Template_x0020_No_x002e_" minOccurs="0"/>
                <xsd:element ref="ns2:Template_x0020_Type" minOccurs="0"/>
                <xsd:element ref="ns2:Remarks" minOccurs="0"/>
                <xsd:element ref="ns2:Label_x0020_Siz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2A11A5E-9A37-4D04-9564-0BE87FE38694" elementFormDefault="qualified">
    <xsd:import namespace="http://schemas.microsoft.com/office/2006/documentManagement/types"/>
    <xsd:element name="Template_x0020_No_x002e_" ma:index="8" nillable="true" ma:displayName="Template No." ma:internalName="Template_x0020_No_x002e_">
      <xsd:simpleType>
        <xsd:restriction base="dms:Text">
          <xsd:maxLength value="255"/>
        </xsd:restriction>
      </xsd:simpleType>
    </xsd:element>
    <xsd:element name="Template_x0020_Type" ma:index="9" nillable="true" ma:displayName="Template Type" ma:format="Dropdown" ma:internalName="Template_x0020_Type">
      <xsd:simpleType>
        <xsd:restriction base="dms:Choice">
          <xsd:enumeration value="Labels"/>
          <xsd:enumeration value="Letterhead"/>
          <xsd:enumeration value="Memorandum"/>
          <xsd:enumeration value="Other"/>
        </xsd:restriction>
      </xsd:simpleType>
    </xsd:element>
    <xsd:element name="Remarks" ma:index="10" nillable="true" ma:displayName="Remarks" ma:internalName="Remarks">
      <xsd:simpleType>
        <xsd:restriction base="dms:Text">
          <xsd:maxLength value="255"/>
        </xsd:restriction>
      </xsd:simpleType>
    </xsd:element>
    <xsd:element name="Label_x0020_Size" ma:index="11" nillable="true" ma:displayName="Label Size" ma:internalName="Label_x0020_Siz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F2815C4-D011-44EB-8912-9B55C139F608}">
  <ds:schemaRefs>
    <ds:schemaRef ds:uri="B2A11A5E-9A37-4D04-9564-0BE87FE38694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C575BCA-0B69-4954-84DB-1DB237E48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D534-0D23-4FE1-8306-98FA0FEBF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11A5E-9A37-4D04-9564-0BE87FE3869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AE7F0B70.dotm</Template>
  <TotalTime>1</TotalTime>
  <Pages>1</Pages>
  <Words>175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 Subject Line</vt:lpstr>
    </vt:vector>
  </TitlesOfParts>
  <Company>IDOT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Subject Line</dc:title>
  <dc:creator>IDOT</dc:creator>
  <cp:lastModifiedBy>Smith, Amy L</cp:lastModifiedBy>
  <cp:revision>2</cp:revision>
  <cp:lastPrinted>2004-07-07T17:02:00Z</cp:lastPrinted>
  <dcterms:created xsi:type="dcterms:W3CDTF">2016-07-21T19:57:00Z</dcterms:created>
  <dcterms:modified xsi:type="dcterms:W3CDTF">2016-07-21T19:57:00Z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Type">
    <vt:lpwstr>Memorandum</vt:lpwstr>
  </property>
  <property fmtid="{D5CDD505-2E9C-101B-9397-08002B2CF9AE}" pid="3" name="Template No.">
    <vt:lpwstr>IDOT 1030</vt:lpwstr>
  </property>
  <property fmtid="{D5CDD505-2E9C-101B-9397-08002B2CF9AE}" pid="4" name="Remarks">
    <vt:lpwstr/>
  </property>
  <property fmtid="{D5CDD505-2E9C-101B-9397-08002B2CF9AE}" pid="5" name="Label Size">
    <vt:lpwstr/>
  </property>
  <property fmtid="{D5CDD505-2E9C-101B-9397-08002B2CF9AE}" pid="6" name="ContentTypeId">
    <vt:lpwstr>0x010100932FA64BA3C46B459910160FFD0BA4E0</vt:lpwstr>
  </property>
</Properties>
</file>