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8CD5" w14:textId="3CF05220" w:rsidR="00451562" w:rsidRPr="00451562" w:rsidRDefault="00451562" w:rsidP="00451562">
      <w:pPr>
        <w:rPr>
          <w:b/>
          <w:bCs/>
        </w:rPr>
      </w:pPr>
      <w:bookmarkStart w:id="0" w:name="_Toc316454006"/>
      <w:bookmarkStart w:id="1" w:name="_Toc424290867"/>
      <w:r w:rsidRPr="00451562">
        <w:rPr>
          <w:b/>
          <w:bCs/>
        </w:rPr>
        <w:t>7AB</w:t>
      </w:r>
    </w:p>
    <w:p w14:paraId="29440808" w14:textId="77777777" w:rsidR="00451562" w:rsidRDefault="00451562" w:rsidP="00451562"/>
    <w:p w14:paraId="2BD45673" w14:textId="23986AC0" w:rsidR="00DB2126" w:rsidRPr="008C7109" w:rsidRDefault="00DB2126" w:rsidP="008C7109">
      <w:pPr>
        <w:pStyle w:val="Heading2"/>
        <w:spacing w:before="0" w:after="0"/>
        <w:rPr>
          <w:szCs w:val="22"/>
        </w:rPr>
      </w:pPr>
      <w:r w:rsidRPr="008C7109">
        <w:rPr>
          <w:szCs w:val="22"/>
        </w:rPr>
        <w:t>LINEAR delineator panels, 6 inch</w:t>
      </w:r>
      <w:bookmarkEnd w:id="0"/>
      <w:bookmarkEnd w:id="1"/>
    </w:p>
    <w:p w14:paraId="0C053FD7" w14:textId="77777777" w:rsidR="00DB2126" w:rsidRPr="008C7109" w:rsidRDefault="00DB2126" w:rsidP="008C7109">
      <w:pPr>
        <w:rPr>
          <w:szCs w:val="22"/>
        </w:rPr>
      </w:pPr>
      <w:r w:rsidRPr="008C7109">
        <w:rPr>
          <w:szCs w:val="22"/>
        </w:rPr>
        <w:t>(Effective April 28, 2017)</w:t>
      </w:r>
    </w:p>
    <w:p w14:paraId="406EC836" w14:textId="77777777" w:rsidR="00DB2126" w:rsidRPr="008C7109" w:rsidRDefault="00DB2126" w:rsidP="008C7109">
      <w:pPr>
        <w:rPr>
          <w:szCs w:val="22"/>
          <w:u w:val="single"/>
        </w:rPr>
      </w:pPr>
    </w:p>
    <w:p w14:paraId="52340B46" w14:textId="3D7E4673" w:rsidR="00DB2126" w:rsidRPr="008C7109" w:rsidRDefault="00DB2126" w:rsidP="008C7109">
      <w:pPr>
        <w:rPr>
          <w:szCs w:val="22"/>
        </w:rPr>
      </w:pPr>
      <w:r w:rsidRPr="00E62E9B">
        <w:rPr>
          <w:b/>
          <w:bCs/>
          <w:szCs w:val="22"/>
        </w:rPr>
        <w:t>Description</w:t>
      </w:r>
      <w:r w:rsidR="008C7109">
        <w:rPr>
          <w:szCs w:val="22"/>
        </w:rPr>
        <w:t xml:space="preserve">.  </w:t>
      </w:r>
      <w:r w:rsidRPr="008C7109">
        <w:rPr>
          <w:szCs w:val="22"/>
        </w:rPr>
        <w:t>Linear delineator panels shall be placed on each parapet wall 6 in</w:t>
      </w:r>
      <w:r w:rsidR="00FA796C">
        <w:rPr>
          <w:szCs w:val="22"/>
        </w:rPr>
        <w:t>.</w:t>
      </w:r>
      <w:r w:rsidRPr="008C7109">
        <w:rPr>
          <w:szCs w:val="22"/>
        </w:rPr>
        <w:t xml:space="preserve"> down from the top.  Panels shall also be placed on structures containing bridge rail as directed by the Engineer.  These panels shall be either white or yellow, matching the color of the adjacent pavement marking edge line.  They should be spaced at a minimum of 80 ft centers horizontally, with the first and last panel located within 20 ft of the parapet wall ends.  Structures that contain existing linear delineator panels shall have any damaged or missing panels removed and replaced as directed by the Engineer</w:t>
      </w:r>
      <w:r w:rsidRPr="008C7109">
        <w:rPr>
          <w:color w:val="FF0000"/>
          <w:szCs w:val="22"/>
        </w:rPr>
        <w:t>.</w:t>
      </w:r>
    </w:p>
    <w:p w14:paraId="31A166FB" w14:textId="77777777" w:rsidR="00DB2126" w:rsidRPr="008C7109" w:rsidRDefault="00DB2126" w:rsidP="008C7109">
      <w:pPr>
        <w:rPr>
          <w:szCs w:val="22"/>
        </w:rPr>
      </w:pPr>
    </w:p>
    <w:p w14:paraId="17F869E7" w14:textId="77777777" w:rsidR="00DB2126" w:rsidRPr="008C7109" w:rsidRDefault="00DB2126" w:rsidP="008C7109">
      <w:pPr>
        <w:rPr>
          <w:szCs w:val="22"/>
        </w:rPr>
      </w:pPr>
      <w:r w:rsidRPr="008C7109">
        <w:rPr>
          <w:szCs w:val="22"/>
        </w:rPr>
        <w:t>When attaching linear delineator panels to concrete, the panels shall be secured using an anchor bolt method approved by the Engineer that will anchor the entire panel securely, but also facilitate removal of the panel by maintenance operations if damaged or weathered in the future.  The Contractor shall also sufficiently cover the back side of the linear delineator panel, to the satisfaction of the Engineer, with an adhesive caulking system to aid in the permanent adhesion and alignment of the panels prior to drilling through the pre-drilled linear delineation system holes.</w:t>
      </w:r>
    </w:p>
    <w:p w14:paraId="300377AB" w14:textId="77777777" w:rsidR="00DB2126" w:rsidRPr="008C7109" w:rsidRDefault="00DB2126" w:rsidP="008C7109">
      <w:pPr>
        <w:rPr>
          <w:szCs w:val="22"/>
        </w:rPr>
      </w:pPr>
    </w:p>
    <w:p w14:paraId="1012B02B" w14:textId="77777777" w:rsidR="00DB2126" w:rsidRPr="008C7109" w:rsidRDefault="00DB2126" w:rsidP="008C7109">
      <w:pPr>
        <w:rPr>
          <w:szCs w:val="22"/>
        </w:rPr>
      </w:pPr>
      <w:r w:rsidRPr="008C7109">
        <w:rPr>
          <w:szCs w:val="22"/>
        </w:rPr>
        <w:t>When securing the linear delineator panels to metal bridge rail or any other metal surfaces, the Contractor may use a linear delineation system panel and bracket mounting method approved by the Engineer.  The Contractor may also use an adhesive caulking method to sufficiently cover the back side of the linear delineator panel to the satisfaction of the Engineer.  The Contractor shall be responsible for testing the durability and strength of the method used to ensure permanent adhesion of the linear delineator panel to the bridge rail.  Drilling into metal bridge rail or other metal surfaces to secure the linear delineator panels will not be permitted.</w:t>
      </w:r>
    </w:p>
    <w:p w14:paraId="37FD1B51" w14:textId="77777777" w:rsidR="00DB2126" w:rsidRPr="008C7109" w:rsidRDefault="00DB2126" w:rsidP="008C7109">
      <w:pPr>
        <w:rPr>
          <w:szCs w:val="22"/>
        </w:rPr>
      </w:pPr>
    </w:p>
    <w:p w14:paraId="040DC706" w14:textId="77777777" w:rsidR="00DB2126" w:rsidRPr="008C7109" w:rsidRDefault="00DB2126" w:rsidP="008C7109">
      <w:pPr>
        <w:tabs>
          <w:tab w:val="left" w:pos="480"/>
          <w:tab w:val="left" w:pos="1080"/>
          <w:tab w:val="left" w:pos="3960"/>
          <w:tab w:val="left" w:pos="4440"/>
          <w:tab w:val="left" w:pos="5880"/>
        </w:tabs>
        <w:ind w:right="-24"/>
        <w:rPr>
          <w:szCs w:val="22"/>
        </w:rPr>
      </w:pPr>
      <w:r w:rsidRPr="008C7109">
        <w:rPr>
          <w:szCs w:val="22"/>
        </w:rPr>
        <w:t>When removing and replacing missing or damaged linear delineator panels, the existing linear delineator panels and any adhesive used to secure the existing linear delineator panels shall be removed to the satisfaction of the Engineer.  All cost and labor associated with the removal and cleanup of the existing linear delineator panels shall be included in the unit price of the pay item LINEAR DELINEATOR PANELS, 6 INCH.</w:t>
      </w:r>
    </w:p>
    <w:p w14:paraId="1F98E76E" w14:textId="77777777" w:rsidR="00DB2126" w:rsidRPr="008C7109" w:rsidRDefault="00DB2126" w:rsidP="008C7109">
      <w:pPr>
        <w:rPr>
          <w:szCs w:val="22"/>
        </w:rPr>
      </w:pPr>
    </w:p>
    <w:p w14:paraId="47F32DEB" w14:textId="70E344C9" w:rsidR="00DB2126" w:rsidRPr="008C7109" w:rsidRDefault="00DB2126" w:rsidP="008C7109">
      <w:pPr>
        <w:rPr>
          <w:szCs w:val="22"/>
        </w:rPr>
      </w:pPr>
      <w:r w:rsidRPr="008C7109">
        <w:rPr>
          <w:szCs w:val="22"/>
        </w:rPr>
        <w:t>Each panel shall not be less than 34 in</w:t>
      </w:r>
      <w:r w:rsidR="00FA796C">
        <w:rPr>
          <w:szCs w:val="22"/>
        </w:rPr>
        <w:t>.</w:t>
      </w:r>
      <w:r w:rsidRPr="008C7109">
        <w:rPr>
          <w:szCs w:val="22"/>
        </w:rPr>
        <w:t xml:space="preserve"> in length and 6.0 in</w:t>
      </w:r>
      <w:r w:rsidR="00FA796C">
        <w:rPr>
          <w:szCs w:val="22"/>
        </w:rPr>
        <w:t>.</w:t>
      </w:r>
      <w:r w:rsidRPr="008C7109">
        <w:rPr>
          <w:szCs w:val="22"/>
        </w:rPr>
        <w:t xml:space="preserve"> in width.  The panels shall be constructed of cube-corner retroreflective material in standard highway colors permanently bonded to an aluminum substrate.  The lateral edges of each panel shall be hemmed.  The panel assembly shall have a repeating raised lateral ridge every 2.25 in</w:t>
      </w:r>
      <w:r w:rsidR="00FA796C">
        <w:rPr>
          <w:szCs w:val="22"/>
        </w:rPr>
        <w:t>.</w:t>
      </w:r>
      <w:r w:rsidRPr="008C7109">
        <w:rPr>
          <w:szCs w:val="22"/>
        </w:rPr>
        <w:t xml:space="preserve">  Each ridge shall be 0.34 in</w:t>
      </w:r>
      <w:r w:rsidR="00FA796C">
        <w:rPr>
          <w:szCs w:val="22"/>
        </w:rPr>
        <w:t>.</w:t>
      </w:r>
      <w:r w:rsidRPr="008C7109">
        <w:rPr>
          <w:szCs w:val="22"/>
        </w:rPr>
        <w:t xml:space="preserve"> high with a 45° profile and a 0.28 in</w:t>
      </w:r>
      <w:r w:rsidR="00FA796C">
        <w:rPr>
          <w:szCs w:val="22"/>
        </w:rPr>
        <w:t>.</w:t>
      </w:r>
      <w:r w:rsidRPr="008C7109">
        <w:rPr>
          <w:szCs w:val="22"/>
        </w:rPr>
        <w:t xml:space="preserve"> radius top.</w:t>
      </w:r>
    </w:p>
    <w:p w14:paraId="57356ABC" w14:textId="77777777" w:rsidR="00DB2126" w:rsidRPr="008C7109" w:rsidRDefault="00DB2126" w:rsidP="008C7109">
      <w:pPr>
        <w:rPr>
          <w:szCs w:val="22"/>
        </w:rPr>
      </w:pPr>
    </w:p>
    <w:p w14:paraId="374C8A62" w14:textId="77777777" w:rsidR="00DB2126" w:rsidRPr="008C7109" w:rsidRDefault="00DB2126" w:rsidP="008C7109">
      <w:pPr>
        <w:rPr>
          <w:szCs w:val="22"/>
        </w:rPr>
      </w:pPr>
      <w:r w:rsidRPr="008C7109">
        <w:rPr>
          <w:szCs w:val="22"/>
        </w:rPr>
        <w:t>Daytime color requirements shall be determined from measurement of the retroreflective sheeting applied to aluminum test panels.  Daytime color shall be measured instrumentally using a spectrophotometer employing annular 45/0 (or equivalent 0/45) illuminating and viewing geometry.  Measurements shall be made in accordance with ASTM E1164 for ordinary colors or ASTM E2153 for fluorescent colors.  Chromaticity coordinates shall be calculated for CIE Illuminant D65 and the CIE 1931 (2o) Standard Colorimetric Observer in accordance with ASTM E308 for ordinary colors or ASTM E2152 for fluorescent colors.</w:t>
      </w:r>
    </w:p>
    <w:p w14:paraId="0E65B483" w14:textId="77777777" w:rsidR="00DB2126" w:rsidRPr="008C7109" w:rsidRDefault="00DB2126" w:rsidP="008C7109">
      <w:pPr>
        <w:rPr>
          <w:szCs w:val="22"/>
        </w:rPr>
      </w:pPr>
      <w:r w:rsidRPr="008C7109">
        <w:rPr>
          <w:szCs w:val="22"/>
        </w:rPr>
        <w:br w:type="page"/>
      </w:r>
    </w:p>
    <w:tbl>
      <w:tblPr>
        <w:tblW w:w="1056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8C7109" w:rsidRPr="008C7109" w14:paraId="28C12690" w14:textId="77777777" w:rsidTr="001D3171">
        <w:trPr>
          <w:trHeight w:val="288"/>
          <w:jc w:val="center"/>
        </w:trPr>
        <w:tc>
          <w:tcPr>
            <w:tcW w:w="960" w:type="dxa"/>
            <w:noWrap/>
            <w:vAlign w:val="center"/>
          </w:tcPr>
          <w:p w14:paraId="49757D56" w14:textId="77777777" w:rsidR="008C7109" w:rsidRPr="008C7109" w:rsidRDefault="008C7109" w:rsidP="008C7109">
            <w:pPr>
              <w:jc w:val="center"/>
              <w:rPr>
                <w:szCs w:val="22"/>
              </w:rPr>
            </w:pPr>
          </w:p>
        </w:tc>
        <w:tc>
          <w:tcPr>
            <w:tcW w:w="960" w:type="dxa"/>
            <w:noWrap/>
            <w:vAlign w:val="center"/>
          </w:tcPr>
          <w:p w14:paraId="3B563511" w14:textId="77777777" w:rsidR="008C7109" w:rsidRPr="008C7109" w:rsidRDefault="008C7109" w:rsidP="008C7109">
            <w:pPr>
              <w:jc w:val="center"/>
              <w:rPr>
                <w:szCs w:val="22"/>
              </w:rPr>
            </w:pPr>
          </w:p>
        </w:tc>
        <w:tc>
          <w:tcPr>
            <w:tcW w:w="960" w:type="dxa"/>
            <w:noWrap/>
            <w:vAlign w:val="center"/>
          </w:tcPr>
          <w:p w14:paraId="753EAB6F" w14:textId="77777777" w:rsidR="008C7109" w:rsidRPr="008C7109" w:rsidRDefault="008C7109" w:rsidP="008C7109">
            <w:pPr>
              <w:jc w:val="center"/>
              <w:rPr>
                <w:szCs w:val="22"/>
              </w:rPr>
            </w:pPr>
          </w:p>
        </w:tc>
        <w:tc>
          <w:tcPr>
            <w:tcW w:w="4800" w:type="dxa"/>
            <w:gridSpan w:val="5"/>
            <w:noWrap/>
            <w:vAlign w:val="center"/>
            <w:hideMark/>
          </w:tcPr>
          <w:p w14:paraId="0043AE80" w14:textId="77777777" w:rsidR="008C7109" w:rsidRPr="008C7109" w:rsidRDefault="008C7109" w:rsidP="008C7109">
            <w:pPr>
              <w:jc w:val="center"/>
              <w:rPr>
                <w:b/>
                <w:bCs/>
                <w:szCs w:val="22"/>
              </w:rPr>
            </w:pPr>
            <w:r w:rsidRPr="008C7109">
              <w:rPr>
                <w:b/>
                <w:bCs/>
                <w:szCs w:val="22"/>
              </w:rPr>
              <w:t>Chromaticity Limits for White</w:t>
            </w:r>
          </w:p>
        </w:tc>
        <w:tc>
          <w:tcPr>
            <w:tcW w:w="960" w:type="dxa"/>
            <w:noWrap/>
            <w:vAlign w:val="center"/>
          </w:tcPr>
          <w:p w14:paraId="3F8A0AA4" w14:textId="77777777" w:rsidR="008C7109" w:rsidRPr="008C7109" w:rsidRDefault="008C7109" w:rsidP="008C7109">
            <w:pPr>
              <w:jc w:val="center"/>
              <w:rPr>
                <w:szCs w:val="22"/>
              </w:rPr>
            </w:pPr>
          </w:p>
        </w:tc>
        <w:tc>
          <w:tcPr>
            <w:tcW w:w="960" w:type="dxa"/>
            <w:noWrap/>
            <w:vAlign w:val="center"/>
          </w:tcPr>
          <w:p w14:paraId="2DC6FA84" w14:textId="77777777" w:rsidR="008C7109" w:rsidRPr="008C7109" w:rsidRDefault="008C7109" w:rsidP="008C7109">
            <w:pPr>
              <w:jc w:val="center"/>
              <w:rPr>
                <w:szCs w:val="22"/>
              </w:rPr>
            </w:pPr>
          </w:p>
        </w:tc>
        <w:tc>
          <w:tcPr>
            <w:tcW w:w="960" w:type="dxa"/>
            <w:noWrap/>
            <w:vAlign w:val="center"/>
          </w:tcPr>
          <w:p w14:paraId="45856003" w14:textId="77777777" w:rsidR="008C7109" w:rsidRPr="008C7109" w:rsidRDefault="008C7109" w:rsidP="008C7109">
            <w:pPr>
              <w:jc w:val="center"/>
              <w:rPr>
                <w:szCs w:val="22"/>
              </w:rPr>
            </w:pPr>
          </w:p>
        </w:tc>
      </w:tr>
      <w:tr w:rsidR="008C7109" w:rsidRPr="008C7109" w14:paraId="11E6A149" w14:textId="77777777" w:rsidTr="001D3171">
        <w:trPr>
          <w:trHeight w:val="288"/>
          <w:jc w:val="center"/>
        </w:trPr>
        <w:tc>
          <w:tcPr>
            <w:tcW w:w="960" w:type="dxa"/>
            <w:noWrap/>
            <w:vAlign w:val="center"/>
          </w:tcPr>
          <w:p w14:paraId="14F12321" w14:textId="77777777" w:rsidR="008C7109" w:rsidRPr="008C7109" w:rsidRDefault="008C7109" w:rsidP="008C7109">
            <w:pPr>
              <w:jc w:val="center"/>
              <w:rPr>
                <w:szCs w:val="22"/>
              </w:rPr>
            </w:pPr>
          </w:p>
        </w:tc>
        <w:tc>
          <w:tcPr>
            <w:tcW w:w="960" w:type="dxa"/>
            <w:noWrap/>
            <w:vAlign w:val="center"/>
          </w:tcPr>
          <w:p w14:paraId="01DD610A" w14:textId="77777777" w:rsidR="008C7109" w:rsidRPr="008C7109" w:rsidRDefault="008C7109" w:rsidP="008C7109">
            <w:pPr>
              <w:jc w:val="center"/>
              <w:rPr>
                <w:szCs w:val="22"/>
              </w:rPr>
            </w:pPr>
          </w:p>
        </w:tc>
        <w:tc>
          <w:tcPr>
            <w:tcW w:w="960" w:type="dxa"/>
            <w:noWrap/>
            <w:vAlign w:val="center"/>
          </w:tcPr>
          <w:p w14:paraId="24E06B04" w14:textId="77777777" w:rsidR="008C7109" w:rsidRPr="008C7109" w:rsidRDefault="008C7109" w:rsidP="008C7109">
            <w:pPr>
              <w:jc w:val="center"/>
              <w:rPr>
                <w:szCs w:val="22"/>
              </w:rPr>
            </w:pPr>
          </w:p>
        </w:tc>
        <w:tc>
          <w:tcPr>
            <w:tcW w:w="960" w:type="dxa"/>
            <w:noWrap/>
            <w:vAlign w:val="center"/>
          </w:tcPr>
          <w:p w14:paraId="50763CA4" w14:textId="77777777" w:rsidR="008C7109" w:rsidRPr="008C7109" w:rsidRDefault="008C7109" w:rsidP="008C7109">
            <w:pPr>
              <w:jc w:val="center"/>
              <w:rPr>
                <w:szCs w:val="22"/>
              </w:rPr>
            </w:pPr>
          </w:p>
        </w:tc>
        <w:tc>
          <w:tcPr>
            <w:tcW w:w="960" w:type="dxa"/>
            <w:noWrap/>
            <w:vAlign w:val="center"/>
          </w:tcPr>
          <w:p w14:paraId="6301354B" w14:textId="77777777" w:rsidR="008C7109" w:rsidRPr="008C7109" w:rsidRDefault="008C7109" w:rsidP="008C7109">
            <w:pPr>
              <w:jc w:val="center"/>
              <w:rPr>
                <w:szCs w:val="22"/>
              </w:rPr>
            </w:pPr>
          </w:p>
        </w:tc>
        <w:tc>
          <w:tcPr>
            <w:tcW w:w="960" w:type="dxa"/>
            <w:noWrap/>
            <w:vAlign w:val="center"/>
          </w:tcPr>
          <w:p w14:paraId="406676A8" w14:textId="77777777" w:rsidR="008C7109" w:rsidRPr="008C7109" w:rsidRDefault="008C7109" w:rsidP="008C7109">
            <w:pPr>
              <w:jc w:val="center"/>
              <w:rPr>
                <w:szCs w:val="22"/>
              </w:rPr>
            </w:pPr>
          </w:p>
        </w:tc>
        <w:tc>
          <w:tcPr>
            <w:tcW w:w="960" w:type="dxa"/>
            <w:noWrap/>
            <w:vAlign w:val="center"/>
          </w:tcPr>
          <w:p w14:paraId="35E2E0E6" w14:textId="77777777" w:rsidR="008C7109" w:rsidRPr="008C7109" w:rsidRDefault="008C7109" w:rsidP="008C7109">
            <w:pPr>
              <w:jc w:val="center"/>
              <w:rPr>
                <w:szCs w:val="22"/>
              </w:rPr>
            </w:pPr>
          </w:p>
        </w:tc>
        <w:tc>
          <w:tcPr>
            <w:tcW w:w="960" w:type="dxa"/>
            <w:noWrap/>
            <w:vAlign w:val="center"/>
          </w:tcPr>
          <w:p w14:paraId="5BDAB789" w14:textId="77777777" w:rsidR="008C7109" w:rsidRPr="008C7109" w:rsidRDefault="008C7109" w:rsidP="008C7109">
            <w:pPr>
              <w:jc w:val="center"/>
              <w:rPr>
                <w:szCs w:val="22"/>
              </w:rPr>
            </w:pPr>
          </w:p>
        </w:tc>
        <w:tc>
          <w:tcPr>
            <w:tcW w:w="960" w:type="dxa"/>
            <w:noWrap/>
            <w:vAlign w:val="center"/>
          </w:tcPr>
          <w:p w14:paraId="70BFF6C2" w14:textId="77777777" w:rsidR="008C7109" w:rsidRPr="008C7109" w:rsidRDefault="008C7109" w:rsidP="008C7109">
            <w:pPr>
              <w:jc w:val="center"/>
              <w:rPr>
                <w:szCs w:val="22"/>
              </w:rPr>
            </w:pPr>
          </w:p>
        </w:tc>
        <w:tc>
          <w:tcPr>
            <w:tcW w:w="960" w:type="dxa"/>
            <w:noWrap/>
            <w:vAlign w:val="center"/>
          </w:tcPr>
          <w:p w14:paraId="0F6A5136" w14:textId="77777777" w:rsidR="008C7109" w:rsidRPr="008C7109" w:rsidRDefault="008C7109" w:rsidP="008C7109">
            <w:pPr>
              <w:jc w:val="center"/>
              <w:rPr>
                <w:szCs w:val="22"/>
              </w:rPr>
            </w:pPr>
          </w:p>
        </w:tc>
        <w:tc>
          <w:tcPr>
            <w:tcW w:w="960" w:type="dxa"/>
            <w:noWrap/>
            <w:vAlign w:val="center"/>
          </w:tcPr>
          <w:p w14:paraId="7CBA4B45" w14:textId="77777777" w:rsidR="008C7109" w:rsidRPr="008C7109" w:rsidRDefault="008C7109" w:rsidP="008C7109">
            <w:pPr>
              <w:jc w:val="center"/>
              <w:rPr>
                <w:szCs w:val="22"/>
              </w:rPr>
            </w:pPr>
          </w:p>
        </w:tc>
      </w:tr>
      <w:tr w:rsidR="008C7109" w:rsidRPr="008C7109" w14:paraId="652F5DD8" w14:textId="77777777" w:rsidTr="001D3171">
        <w:trPr>
          <w:trHeight w:val="288"/>
          <w:jc w:val="center"/>
        </w:trPr>
        <w:tc>
          <w:tcPr>
            <w:tcW w:w="960" w:type="dxa"/>
            <w:tcBorders>
              <w:top w:val="single" w:sz="4" w:space="0" w:color="auto"/>
              <w:left w:val="single" w:sz="4" w:space="0" w:color="auto"/>
              <w:bottom w:val="nil"/>
              <w:right w:val="single" w:sz="4" w:space="0" w:color="auto"/>
            </w:tcBorders>
            <w:noWrap/>
            <w:vAlign w:val="center"/>
            <w:hideMark/>
          </w:tcPr>
          <w:p w14:paraId="57C633E0" w14:textId="77777777" w:rsidR="008C7109" w:rsidRPr="008C7109" w:rsidRDefault="008C7109" w:rsidP="008C7109">
            <w:pPr>
              <w:jc w:val="center"/>
              <w:rPr>
                <w:szCs w:val="22"/>
              </w:rPr>
            </w:pPr>
          </w:p>
        </w:tc>
        <w:tc>
          <w:tcPr>
            <w:tcW w:w="960" w:type="dxa"/>
            <w:tcBorders>
              <w:top w:val="single" w:sz="4" w:space="0" w:color="auto"/>
              <w:left w:val="nil"/>
              <w:bottom w:val="nil"/>
              <w:right w:val="single" w:sz="4" w:space="0" w:color="auto"/>
            </w:tcBorders>
            <w:noWrap/>
            <w:vAlign w:val="center"/>
            <w:hideMark/>
          </w:tcPr>
          <w:p w14:paraId="69C107B7" w14:textId="77777777" w:rsidR="008C7109" w:rsidRPr="008C7109" w:rsidRDefault="008C7109" w:rsidP="008C7109">
            <w:pPr>
              <w:jc w:val="center"/>
              <w:rPr>
                <w:szCs w:val="22"/>
              </w:rPr>
            </w:pPr>
            <w:r w:rsidRPr="008C7109">
              <w:rPr>
                <w:szCs w:val="22"/>
              </w:rPr>
              <w:t>x</w:t>
            </w:r>
          </w:p>
        </w:tc>
        <w:tc>
          <w:tcPr>
            <w:tcW w:w="960" w:type="dxa"/>
            <w:tcBorders>
              <w:top w:val="single" w:sz="4" w:space="0" w:color="auto"/>
              <w:left w:val="nil"/>
              <w:bottom w:val="nil"/>
              <w:right w:val="single" w:sz="4" w:space="0" w:color="auto"/>
            </w:tcBorders>
            <w:noWrap/>
            <w:vAlign w:val="center"/>
            <w:hideMark/>
          </w:tcPr>
          <w:p w14:paraId="2D51F48A" w14:textId="77777777" w:rsidR="008C7109" w:rsidRPr="008C7109" w:rsidRDefault="008C7109" w:rsidP="008C7109">
            <w:pPr>
              <w:jc w:val="center"/>
              <w:rPr>
                <w:szCs w:val="22"/>
              </w:rPr>
            </w:pPr>
            <w:r w:rsidRPr="008C7109">
              <w:rPr>
                <w:szCs w:val="22"/>
              </w:rPr>
              <w:t>y</w:t>
            </w:r>
          </w:p>
        </w:tc>
        <w:tc>
          <w:tcPr>
            <w:tcW w:w="960" w:type="dxa"/>
            <w:tcBorders>
              <w:top w:val="single" w:sz="4" w:space="0" w:color="auto"/>
              <w:left w:val="nil"/>
              <w:bottom w:val="nil"/>
              <w:right w:val="single" w:sz="4" w:space="0" w:color="auto"/>
            </w:tcBorders>
            <w:noWrap/>
            <w:vAlign w:val="center"/>
            <w:hideMark/>
          </w:tcPr>
          <w:p w14:paraId="3C1F0BAE" w14:textId="77777777" w:rsidR="008C7109" w:rsidRPr="008C7109" w:rsidRDefault="008C7109" w:rsidP="008C7109">
            <w:pPr>
              <w:jc w:val="center"/>
              <w:rPr>
                <w:szCs w:val="22"/>
              </w:rPr>
            </w:pPr>
            <w:r w:rsidRPr="008C7109">
              <w:rPr>
                <w:szCs w:val="22"/>
              </w:rPr>
              <w:t>x</w:t>
            </w:r>
          </w:p>
        </w:tc>
        <w:tc>
          <w:tcPr>
            <w:tcW w:w="960" w:type="dxa"/>
            <w:tcBorders>
              <w:top w:val="single" w:sz="4" w:space="0" w:color="auto"/>
              <w:left w:val="nil"/>
              <w:bottom w:val="nil"/>
              <w:right w:val="single" w:sz="4" w:space="0" w:color="auto"/>
            </w:tcBorders>
            <w:noWrap/>
            <w:vAlign w:val="center"/>
            <w:hideMark/>
          </w:tcPr>
          <w:p w14:paraId="0E0FD8DF" w14:textId="77777777" w:rsidR="008C7109" w:rsidRPr="008C7109" w:rsidRDefault="008C7109" w:rsidP="008C7109">
            <w:pPr>
              <w:jc w:val="center"/>
              <w:rPr>
                <w:szCs w:val="22"/>
              </w:rPr>
            </w:pPr>
            <w:r w:rsidRPr="008C7109">
              <w:rPr>
                <w:szCs w:val="22"/>
              </w:rPr>
              <w:t>y</w:t>
            </w:r>
          </w:p>
        </w:tc>
        <w:tc>
          <w:tcPr>
            <w:tcW w:w="960" w:type="dxa"/>
            <w:tcBorders>
              <w:top w:val="single" w:sz="4" w:space="0" w:color="auto"/>
              <w:left w:val="nil"/>
              <w:bottom w:val="nil"/>
              <w:right w:val="single" w:sz="4" w:space="0" w:color="auto"/>
            </w:tcBorders>
            <w:noWrap/>
            <w:vAlign w:val="center"/>
            <w:hideMark/>
          </w:tcPr>
          <w:p w14:paraId="10FFA181" w14:textId="77777777" w:rsidR="008C7109" w:rsidRPr="008C7109" w:rsidRDefault="008C7109" w:rsidP="008C7109">
            <w:pPr>
              <w:jc w:val="center"/>
              <w:rPr>
                <w:szCs w:val="22"/>
              </w:rPr>
            </w:pPr>
            <w:r w:rsidRPr="008C7109">
              <w:rPr>
                <w:szCs w:val="22"/>
              </w:rPr>
              <w:t>x</w:t>
            </w:r>
          </w:p>
        </w:tc>
        <w:tc>
          <w:tcPr>
            <w:tcW w:w="960" w:type="dxa"/>
            <w:tcBorders>
              <w:top w:val="single" w:sz="4" w:space="0" w:color="auto"/>
              <w:left w:val="nil"/>
              <w:bottom w:val="nil"/>
              <w:right w:val="single" w:sz="4" w:space="0" w:color="auto"/>
            </w:tcBorders>
            <w:noWrap/>
            <w:vAlign w:val="center"/>
            <w:hideMark/>
          </w:tcPr>
          <w:p w14:paraId="39E39812" w14:textId="77777777" w:rsidR="008C7109" w:rsidRPr="008C7109" w:rsidRDefault="008C7109" w:rsidP="008C7109">
            <w:pPr>
              <w:jc w:val="center"/>
              <w:rPr>
                <w:szCs w:val="22"/>
              </w:rPr>
            </w:pPr>
            <w:r w:rsidRPr="008C7109">
              <w:rPr>
                <w:szCs w:val="22"/>
              </w:rPr>
              <w:t>y</w:t>
            </w:r>
          </w:p>
        </w:tc>
        <w:tc>
          <w:tcPr>
            <w:tcW w:w="960" w:type="dxa"/>
            <w:tcBorders>
              <w:top w:val="single" w:sz="4" w:space="0" w:color="auto"/>
              <w:left w:val="nil"/>
              <w:bottom w:val="nil"/>
              <w:right w:val="single" w:sz="4" w:space="0" w:color="auto"/>
            </w:tcBorders>
            <w:noWrap/>
            <w:vAlign w:val="center"/>
            <w:hideMark/>
          </w:tcPr>
          <w:p w14:paraId="6B4DCBF2" w14:textId="77777777" w:rsidR="008C7109" w:rsidRPr="008C7109" w:rsidRDefault="008C7109" w:rsidP="008C7109">
            <w:pPr>
              <w:jc w:val="center"/>
              <w:rPr>
                <w:szCs w:val="22"/>
              </w:rPr>
            </w:pPr>
            <w:r w:rsidRPr="008C7109">
              <w:rPr>
                <w:szCs w:val="22"/>
              </w:rPr>
              <w:t>x</w:t>
            </w:r>
          </w:p>
        </w:tc>
        <w:tc>
          <w:tcPr>
            <w:tcW w:w="960" w:type="dxa"/>
            <w:tcBorders>
              <w:top w:val="single" w:sz="4" w:space="0" w:color="auto"/>
              <w:left w:val="nil"/>
              <w:bottom w:val="nil"/>
              <w:right w:val="single" w:sz="4" w:space="0" w:color="auto"/>
            </w:tcBorders>
            <w:noWrap/>
            <w:vAlign w:val="center"/>
            <w:hideMark/>
          </w:tcPr>
          <w:p w14:paraId="2295E1DA" w14:textId="77777777" w:rsidR="008C7109" w:rsidRPr="008C7109" w:rsidRDefault="008C7109" w:rsidP="008C7109">
            <w:pPr>
              <w:jc w:val="center"/>
              <w:rPr>
                <w:szCs w:val="22"/>
              </w:rPr>
            </w:pPr>
            <w:r w:rsidRPr="008C7109">
              <w:rPr>
                <w:szCs w:val="22"/>
              </w:rPr>
              <w:t>y</w:t>
            </w:r>
          </w:p>
        </w:tc>
        <w:tc>
          <w:tcPr>
            <w:tcW w:w="1920" w:type="dxa"/>
            <w:gridSpan w:val="2"/>
            <w:tcBorders>
              <w:top w:val="single" w:sz="4" w:space="0" w:color="auto"/>
              <w:left w:val="nil"/>
              <w:bottom w:val="nil"/>
              <w:right w:val="single" w:sz="4" w:space="0" w:color="000000"/>
            </w:tcBorders>
            <w:noWrap/>
            <w:vAlign w:val="center"/>
            <w:hideMark/>
          </w:tcPr>
          <w:p w14:paraId="6B062110" w14:textId="77777777" w:rsidR="008C7109" w:rsidRPr="008C7109" w:rsidRDefault="008C7109" w:rsidP="008C7109">
            <w:pPr>
              <w:jc w:val="center"/>
              <w:rPr>
                <w:szCs w:val="22"/>
              </w:rPr>
            </w:pPr>
            <w:r w:rsidRPr="008C7109">
              <w:rPr>
                <w:szCs w:val="22"/>
              </w:rPr>
              <w:t>Limit Y (%)</w:t>
            </w:r>
          </w:p>
        </w:tc>
      </w:tr>
      <w:tr w:rsidR="008C7109" w:rsidRPr="008C7109" w14:paraId="48F417B8" w14:textId="77777777" w:rsidTr="001D3171">
        <w:trPr>
          <w:trHeight w:val="288"/>
          <w:jc w:val="center"/>
        </w:trPr>
        <w:tc>
          <w:tcPr>
            <w:tcW w:w="960" w:type="dxa"/>
            <w:tcBorders>
              <w:top w:val="nil"/>
              <w:left w:val="single" w:sz="4" w:space="0" w:color="auto"/>
              <w:bottom w:val="nil"/>
              <w:right w:val="single" w:sz="4" w:space="0" w:color="auto"/>
            </w:tcBorders>
            <w:noWrap/>
            <w:vAlign w:val="center"/>
            <w:hideMark/>
          </w:tcPr>
          <w:p w14:paraId="65300B32"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7F2A744C"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1ABC8079"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4C9954FC"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315E15C6"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017618B0"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2A9DBD8E"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007DAB1C"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701A0AD4" w14:textId="77777777" w:rsidR="008C7109" w:rsidRPr="008C7109" w:rsidRDefault="008C7109" w:rsidP="008C7109">
            <w:pPr>
              <w:jc w:val="center"/>
              <w:rPr>
                <w:szCs w:val="22"/>
              </w:rPr>
            </w:pPr>
          </w:p>
        </w:tc>
        <w:tc>
          <w:tcPr>
            <w:tcW w:w="960" w:type="dxa"/>
            <w:noWrap/>
            <w:vAlign w:val="center"/>
            <w:hideMark/>
          </w:tcPr>
          <w:p w14:paraId="321E4B4F" w14:textId="77777777" w:rsidR="008C7109" w:rsidRPr="008C7109" w:rsidRDefault="008C7109" w:rsidP="008C7109">
            <w:pPr>
              <w:jc w:val="center"/>
              <w:rPr>
                <w:szCs w:val="22"/>
              </w:rPr>
            </w:pPr>
            <w:r w:rsidRPr="008C7109">
              <w:rPr>
                <w:szCs w:val="22"/>
              </w:rPr>
              <w:t>Min</w:t>
            </w:r>
          </w:p>
        </w:tc>
        <w:tc>
          <w:tcPr>
            <w:tcW w:w="960" w:type="dxa"/>
            <w:tcBorders>
              <w:top w:val="nil"/>
              <w:left w:val="nil"/>
              <w:bottom w:val="nil"/>
              <w:right w:val="single" w:sz="4" w:space="0" w:color="auto"/>
            </w:tcBorders>
            <w:noWrap/>
            <w:vAlign w:val="center"/>
            <w:hideMark/>
          </w:tcPr>
          <w:p w14:paraId="4F3BECB1" w14:textId="77777777" w:rsidR="008C7109" w:rsidRPr="008C7109" w:rsidRDefault="008C7109" w:rsidP="008C7109">
            <w:pPr>
              <w:jc w:val="center"/>
              <w:rPr>
                <w:szCs w:val="22"/>
              </w:rPr>
            </w:pPr>
            <w:r w:rsidRPr="008C7109">
              <w:rPr>
                <w:szCs w:val="22"/>
              </w:rPr>
              <w:t>Max</w:t>
            </w:r>
          </w:p>
        </w:tc>
      </w:tr>
      <w:tr w:rsidR="008C7109" w:rsidRPr="008C7109" w14:paraId="78BB2C10" w14:textId="77777777" w:rsidTr="001D3171">
        <w:trPr>
          <w:trHeight w:val="288"/>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73ECA61" w14:textId="77777777" w:rsidR="008C7109" w:rsidRPr="008C7109" w:rsidRDefault="008C7109" w:rsidP="008C7109">
            <w:pPr>
              <w:jc w:val="left"/>
              <w:rPr>
                <w:szCs w:val="22"/>
              </w:rPr>
            </w:pPr>
            <w:r w:rsidRPr="008C7109">
              <w:rPr>
                <w:szCs w:val="22"/>
              </w:rPr>
              <w:t>White</w:t>
            </w:r>
          </w:p>
        </w:tc>
        <w:tc>
          <w:tcPr>
            <w:tcW w:w="960" w:type="dxa"/>
            <w:tcBorders>
              <w:top w:val="single" w:sz="4" w:space="0" w:color="auto"/>
              <w:left w:val="nil"/>
              <w:bottom w:val="single" w:sz="4" w:space="0" w:color="auto"/>
              <w:right w:val="single" w:sz="4" w:space="0" w:color="auto"/>
            </w:tcBorders>
            <w:noWrap/>
            <w:vAlign w:val="center"/>
            <w:hideMark/>
          </w:tcPr>
          <w:p w14:paraId="1EE6D198" w14:textId="77777777" w:rsidR="008C7109" w:rsidRPr="008C7109" w:rsidRDefault="008C7109" w:rsidP="008C7109">
            <w:pPr>
              <w:jc w:val="center"/>
              <w:rPr>
                <w:szCs w:val="22"/>
              </w:rPr>
            </w:pPr>
            <w:r w:rsidRPr="008C7109">
              <w:rPr>
                <w:szCs w:val="22"/>
              </w:rPr>
              <w:t>0.303</w:t>
            </w:r>
          </w:p>
        </w:tc>
        <w:tc>
          <w:tcPr>
            <w:tcW w:w="960" w:type="dxa"/>
            <w:tcBorders>
              <w:top w:val="single" w:sz="4" w:space="0" w:color="auto"/>
              <w:left w:val="nil"/>
              <w:bottom w:val="single" w:sz="4" w:space="0" w:color="auto"/>
              <w:right w:val="single" w:sz="4" w:space="0" w:color="auto"/>
            </w:tcBorders>
            <w:noWrap/>
            <w:vAlign w:val="center"/>
            <w:hideMark/>
          </w:tcPr>
          <w:p w14:paraId="18036C58" w14:textId="77777777" w:rsidR="008C7109" w:rsidRPr="008C7109" w:rsidRDefault="008C7109" w:rsidP="008C7109">
            <w:pPr>
              <w:jc w:val="center"/>
              <w:rPr>
                <w:szCs w:val="22"/>
              </w:rPr>
            </w:pPr>
            <w:r w:rsidRPr="008C7109">
              <w:rPr>
                <w:szCs w:val="22"/>
              </w:rPr>
              <w:t>0.287</w:t>
            </w:r>
          </w:p>
        </w:tc>
        <w:tc>
          <w:tcPr>
            <w:tcW w:w="960" w:type="dxa"/>
            <w:tcBorders>
              <w:top w:val="single" w:sz="4" w:space="0" w:color="auto"/>
              <w:left w:val="nil"/>
              <w:bottom w:val="single" w:sz="4" w:space="0" w:color="auto"/>
              <w:right w:val="single" w:sz="4" w:space="0" w:color="auto"/>
            </w:tcBorders>
            <w:noWrap/>
            <w:vAlign w:val="center"/>
            <w:hideMark/>
          </w:tcPr>
          <w:p w14:paraId="56602151" w14:textId="77777777" w:rsidR="008C7109" w:rsidRPr="008C7109" w:rsidRDefault="008C7109" w:rsidP="008C7109">
            <w:pPr>
              <w:jc w:val="center"/>
              <w:rPr>
                <w:szCs w:val="22"/>
              </w:rPr>
            </w:pPr>
            <w:r w:rsidRPr="008C7109">
              <w:rPr>
                <w:szCs w:val="22"/>
              </w:rPr>
              <w:t>0.368</w:t>
            </w:r>
          </w:p>
        </w:tc>
        <w:tc>
          <w:tcPr>
            <w:tcW w:w="960" w:type="dxa"/>
            <w:tcBorders>
              <w:top w:val="single" w:sz="4" w:space="0" w:color="auto"/>
              <w:left w:val="nil"/>
              <w:bottom w:val="single" w:sz="4" w:space="0" w:color="auto"/>
              <w:right w:val="single" w:sz="4" w:space="0" w:color="auto"/>
            </w:tcBorders>
            <w:noWrap/>
            <w:vAlign w:val="center"/>
            <w:hideMark/>
          </w:tcPr>
          <w:p w14:paraId="40EB06DA" w14:textId="77777777" w:rsidR="008C7109" w:rsidRPr="008C7109" w:rsidRDefault="008C7109" w:rsidP="008C7109">
            <w:pPr>
              <w:jc w:val="center"/>
              <w:rPr>
                <w:szCs w:val="22"/>
              </w:rPr>
            </w:pPr>
            <w:r w:rsidRPr="008C7109">
              <w:rPr>
                <w:szCs w:val="22"/>
              </w:rPr>
              <w:t>0.353</w:t>
            </w:r>
          </w:p>
        </w:tc>
        <w:tc>
          <w:tcPr>
            <w:tcW w:w="960" w:type="dxa"/>
            <w:tcBorders>
              <w:top w:val="single" w:sz="4" w:space="0" w:color="auto"/>
              <w:left w:val="nil"/>
              <w:bottom w:val="single" w:sz="4" w:space="0" w:color="auto"/>
              <w:right w:val="single" w:sz="4" w:space="0" w:color="auto"/>
            </w:tcBorders>
            <w:noWrap/>
            <w:vAlign w:val="center"/>
            <w:hideMark/>
          </w:tcPr>
          <w:p w14:paraId="1372BEA7" w14:textId="77777777" w:rsidR="008C7109" w:rsidRPr="008C7109" w:rsidRDefault="008C7109" w:rsidP="008C7109">
            <w:pPr>
              <w:jc w:val="center"/>
              <w:rPr>
                <w:szCs w:val="22"/>
              </w:rPr>
            </w:pPr>
            <w:r w:rsidRPr="008C7109">
              <w:rPr>
                <w:szCs w:val="22"/>
              </w:rPr>
              <w:t>0.340</w:t>
            </w:r>
          </w:p>
        </w:tc>
        <w:tc>
          <w:tcPr>
            <w:tcW w:w="960" w:type="dxa"/>
            <w:tcBorders>
              <w:top w:val="single" w:sz="4" w:space="0" w:color="auto"/>
              <w:left w:val="nil"/>
              <w:bottom w:val="single" w:sz="4" w:space="0" w:color="auto"/>
              <w:right w:val="single" w:sz="4" w:space="0" w:color="auto"/>
            </w:tcBorders>
            <w:noWrap/>
            <w:vAlign w:val="center"/>
            <w:hideMark/>
          </w:tcPr>
          <w:p w14:paraId="3408BDE6" w14:textId="77777777" w:rsidR="008C7109" w:rsidRPr="008C7109" w:rsidRDefault="008C7109" w:rsidP="008C7109">
            <w:pPr>
              <w:jc w:val="center"/>
              <w:rPr>
                <w:szCs w:val="22"/>
              </w:rPr>
            </w:pPr>
            <w:r w:rsidRPr="008C7109">
              <w:rPr>
                <w:szCs w:val="22"/>
              </w:rPr>
              <w:t>0.380</w:t>
            </w:r>
          </w:p>
        </w:tc>
        <w:tc>
          <w:tcPr>
            <w:tcW w:w="960" w:type="dxa"/>
            <w:tcBorders>
              <w:top w:val="single" w:sz="4" w:space="0" w:color="auto"/>
              <w:left w:val="nil"/>
              <w:bottom w:val="single" w:sz="4" w:space="0" w:color="auto"/>
              <w:right w:val="single" w:sz="4" w:space="0" w:color="auto"/>
            </w:tcBorders>
            <w:noWrap/>
            <w:vAlign w:val="center"/>
            <w:hideMark/>
          </w:tcPr>
          <w:p w14:paraId="4E69E0FE" w14:textId="77777777" w:rsidR="008C7109" w:rsidRPr="008C7109" w:rsidRDefault="008C7109" w:rsidP="008C7109">
            <w:pPr>
              <w:jc w:val="center"/>
              <w:rPr>
                <w:szCs w:val="22"/>
              </w:rPr>
            </w:pPr>
            <w:r w:rsidRPr="008C7109">
              <w:rPr>
                <w:szCs w:val="22"/>
              </w:rPr>
              <w:t>0.274</w:t>
            </w:r>
          </w:p>
        </w:tc>
        <w:tc>
          <w:tcPr>
            <w:tcW w:w="960" w:type="dxa"/>
            <w:tcBorders>
              <w:top w:val="single" w:sz="4" w:space="0" w:color="auto"/>
              <w:left w:val="nil"/>
              <w:bottom w:val="single" w:sz="4" w:space="0" w:color="auto"/>
              <w:right w:val="single" w:sz="4" w:space="0" w:color="auto"/>
            </w:tcBorders>
            <w:noWrap/>
            <w:vAlign w:val="center"/>
            <w:hideMark/>
          </w:tcPr>
          <w:p w14:paraId="4EE95234" w14:textId="77777777" w:rsidR="008C7109" w:rsidRPr="008C7109" w:rsidRDefault="008C7109" w:rsidP="008C7109">
            <w:pPr>
              <w:jc w:val="center"/>
              <w:rPr>
                <w:szCs w:val="22"/>
              </w:rPr>
            </w:pPr>
            <w:r w:rsidRPr="008C7109">
              <w:rPr>
                <w:szCs w:val="22"/>
              </w:rPr>
              <w:t>0.316</w:t>
            </w:r>
          </w:p>
        </w:tc>
        <w:tc>
          <w:tcPr>
            <w:tcW w:w="960" w:type="dxa"/>
            <w:tcBorders>
              <w:top w:val="single" w:sz="4" w:space="0" w:color="auto"/>
              <w:left w:val="nil"/>
              <w:bottom w:val="single" w:sz="4" w:space="0" w:color="auto"/>
              <w:right w:val="single" w:sz="4" w:space="0" w:color="auto"/>
            </w:tcBorders>
            <w:noWrap/>
            <w:vAlign w:val="center"/>
            <w:hideMark/>
          </w:tcPr>
          <w:p w14:paraId="68037E3D" w14:textId="77777777" w:rsidR="008C7109" w:rsidRPr="008C7109" w:rsidRDefault="008C7109" w:rsidP="008C7109">
            <w:pPr>
              <w:jc w:val="center"/>
              <w:rPr>
                <w:szCs w:val="22"/>
              </w:rPr>
            </w:pPr>
            <w:r w:rsidRPr="008C7109">
              <w:rPr>
                <w:szCs w:val="22"/>
              </w:rPr>
              <w:t>40</w:t>
            </w:r>
          </w:p>
        </w:tc>
        <w:tc>
          <w:tcPr>
            <w:tcW w:w="960" w:type="dxa"/>
            <w:tcBorders>
              <w:top w:val="single" w:sz="4" w:space="0" w:color="auto"/>
              <w:left w:val="nil"/>
              <w:bottom w:val="single" w:sz="4" w:space="0" w:color="auto"/>
              <w:right w:val="single" w:sz="4" w:space="0" w:color="auto"/>
            </w:tcBorders>
            <w:noWrap/>
            <w:vAlign w:val="center"/>
            <w:hideMark/>
          </w:tcPr>
          <w:p w14:paraId="690ED2D5" w14:textId="77777777" w:rsidR="008C7109" w:rsidRPr="008C7109" w:rsidRDefault="008C7109" w:rsidP="008C7109">
            <w:pPr>
              <w:jc w:val="center"/>
              <w:rPr>
                <w:szCs w:val="22"/>
              </w:rPr>
            </w:pPr>
            <w:r w:rsidRPr="008C7109">
              <w:rPr>
                <w:szCs w:val="22"/>
              </w:rPr>
              <w:t>-</w:t>
            </w:r>
          </w:p>
        </w:tc>
      </w:tr>
    </w:tbl>
    <w:p w14:paraId="3F96573A" w14:textId="77777777" w:rsidR="008C7109" w:rsidRPr="008C7109" w:rsidRDefault="008C7109" w:rsidP="008C7109">
      <w:pPr>
        <w:rPr>
          <w:szCs w:val="22"/>
        </w:rPr>
      </w:pPr>
    </w:p>
    <w:tbl>
      <w:tblPr>
        <w:tblW w:w="10560" w:type="dxa"/>
        <w:jc w:val="center"/>
        <w:tblLook w:val="04A0" w:firstRow="1" w:lastRow="0" w:firstColumn="1" w:lastColumn="0" w:noHBand="0" w:noVBand="1"/>
      </w:tblPr>
      <w:tblGrid>
        <w:gridCol w:w="960"/>
        <w:gridCol w:w="960"/>
        <w:gridCol w:w="960"/>
        <w:gridCol w:w="1002"/>
        <w:gridCol w:w="1002"/>
        <w:gridCol w:w="1002"/>
        <w:gridCol w:w="792"/>
        <w:gridCol w:w="1002"/>
        <w:gridCol w:w="960"/>
        <w:gridCol w:w="960"/>
        <w:gridCol w:w="960"/>
      </w:tblGrid>
      <w:tr w:rsidR="008C7109" w:rsidRPr="008C7109" w14:paraId="7B250A57" w14:textId="77777777" w:rsidTr="001D3171">
        <w:trPr>
          <w:trHeight w:val="288"/>
          <w:jc w:val="center"/>
        </w:trPr>
        <w:tc>
          <w:tcPr>
            <w:tcW w:w="960" w:type="dxa"/>
            <w:noWrap/>
            <w:vAlign w:val="center"/>
          </w:tcPr>
          <w:p w14:paraId="059D17D4" w14:textId="77777777" w:rsidR="008C7109" w:rsidRPr="008C7109" w:rsidRDefault="008C7109" w:rsidP="008C7109">
            <w:pPr>
              <w:jc w:val="center"/>
              <w:rPr>
                <w:szCs w:val="22"/>
              </w:rPr>
            </w:pPr>
          </w:p>
        </w:tc>
        <w:tc>
          <w:tcPr>
            <w:tcW w:w="960" w:type="dxa"/>
            <w:noWrap/>
            <w:vAlign w:val="center"/>
          </w:tcPr>
          <w:p w14:paraId="76A7C5A0" w14:textId="77777777" w:rsidR="008C7109" w:rsidRPr="008C7109" w:rsidRDefault="008C7109" w:rsidP="008C7109">
            <w:pPr>
              <w:jc w:val="center"/>
              <w:rPr>
                <w:szCs w:val="22"/>
              </w:rPr>
            </w:pPr>
          </w:p>
        </w:tc>
        <w:tc>
          <w:tcPr>
            <w:tcW w:w="960" w:type="dxa"/>
            <w:noWrap/>
            <w:vAlign w:val="center"/>
          </w:tcPr>
          <w:p w14:paraId="1D55925F" w14:textId="77777777" w:rsidR="008C7109" w:rsidRPr="008C7109" w:rsidRDefault="008C7109" w:rsidP="008C7109">
            <w:pPr>
              <w:jc w:val="center"/>
              <w:rPr>
                <w:szCs w:val="22"/>
              </w:rPr>
            </w:pPr>
          </w:p>
        </w:tc>
        <w:tc>
          <w:tcPr>
            <w:tcW w:w="4800" w:type="dxa"/>
            <w:gridSpan w:val="5"/>
            <w:noWrap/>
            <w:vAlign w:val="center"/>
            <w:hideMark/>
          </w:tcPr>
          <w:p w14:paraId="76DD1B1A" w14:textId="77777777" w:rsidR="008C7109" w:rsidRPr="008C7109" w:rsidRDefault="008C7109" w:rsidP="008C7109">
            <w:pPr>
              <w:jc w:val="center"/>
              <w:rPr>
                <w:b/>
                <w:bCs/>
                <w:szCs w:val="22"/>
              </w:rPr>
            </w:pPr>
            <w:r w:rsidRPr="008C7109">
              <w:rPr>
                <w:b/>
                <w:bCs/>
                <w:szCs w:val="22"/>
              </w:rPr>
              <w:t>Chromaticity Limits for Fluorescent Yellow</w:t>
            </w:r>
          </w:p>
        </w:tc>
        <w:tc>
          <w:tcPr>
            <w:tcW w:w="960" w:type="dxa"/>
            <w:noWrap/>
            <w:vAlign w:val="center"/>
          </w:tcPr>
          <w:p w14:paraId="1B65B76C" w14:textId="77777777" w:rsidR="008C7109" w:rsidRPr="008C7109" w:rsidRDefault="008C7109" w:rsidP="008C7109">
            <w:pPr>
              <w:jc w:val="center"/>
              <w:rPr>
                <w:szCs w:val="22"/>
              </w:rPr>
            </w:pPr>
          </w:p>
        </w:tc>
        <w:tc>
          <w:tcPr>
            <w:tcW w:w="960" w:type="dxa"/>
            <w:noWrap/>
            <w:vAlign w:val="center"/>
          </w:tcPr>
          <w:p w14:paraId="283A7131" w14:textId="77777777" w:rsidR="008C7109" w:rsidRPr="008C7109" w:rsidRDefault="008C7109" w:rsidP="008C7109">
            <w:pPr>
              <w:jc w:val="center"/>
              <w:rPr>
                <w:szCs w:val="22"/>
              </w:rPr>
            </w:pPr>
          </w:p>
        </w:tc>
        <w:tc>
          <w:tcPr>
            <w:tcW w:w="960" w:type="dxa"/>
            <w:noWrap/>
            <w:vAlign w:val="center"/>
          </w:tcPr>
          <w:p w14:paraId="65153F2A" w14:textId="77777777" w:rsidR="008C7109" w:rsidRPr="008C7109" w:rsidRDefault="008C7109" w:rsidP="008C7109">
            <w:pPr>
              <w:jc w:val="center"/>
              <w:rPr>
                <w:szCs w:val="22"/>
              </w:rPr>
            </w:pPr>
          </w:p>
        </w:tc>
      </w:tr>
      <w:tr w:rsidR="008C7109" w:rsidRPr="008C7109" w14:paraId="08B3A488" w14:textId="77777777" w:rsidTr="001D3171">
        <w:trPr>
          <w:trHeight w:val="288"/>
          <w:jc w:val="center"/>
        </w:trPr>
        <w:tc>
          <w:tcPr>
            <w:tcW w:w="960" w:type="dxa"/>
            <w:noWrap/>
            <w:vAlign w:val="center"/>
          </w:tcPr>
          <w:p w14:paraId="570AB4DF" w14:textId="77777777" w:rsidR="008C7109" w:rsidRPr="008C7109" w:rsidRDefault="008C7109" w:rsidP="008C7109">
            <w:pPr>
              <w:jc w:val="center"/>
              <w:rPr>
                <w:szCs w:val="22"/>
              </w:rPr>
            </w:pPr>
          </w:p>
        </w:tc>
        <w:tc>
          <w:tcPr>
            <w:tcW w:w="960" w:type="dxa"/>
            <w:noWrap/>
            <w:vAlign w:val="center"/>
          </w:tcPr>
          <w:p w14:paraId="50C9C639" w14:textId="77777777" w:rsidR="008C7109" w:rsidRPr="008C7109" w:rsidRDefault="008C7109" w:rsidP="008C7109">
            <w:pPr>
              <w:jc w:val="center"/>
              <w:rPr>
                <w:szCs w:val="22"/>
              </w:rPr>
            </w:pPr>
          </w:p>
        </w:tc>
        <w:tc>
          <w:tcPr>
            <w:tcW w:w="960" w:type="dxa"/>
            <w:noWrap/>
            <w:vAlign w:val="center"/>
          </w:tcPr>
          <w:p w14:paraId="67C6522B" w14:textId="77777777" w:rsidR="008C7109" w:rsidRPr="008C7109" w:rsidRDefault="008C7109" w:rsidP="008C7109">
            <w:pPr>
              <w:jc w:val="center"/>
              <w:rPr>
                <w:szCs w:val="22"/>
              </w:rPr>
            </w:pPr>
          </w:p>
        </w:tc>
        <w:tc>
          <w:tcPr>
            <w:tcW w:w="1002" w:type="dxa"/>
            <w:noWrap/>
            <w:vAlign w:val="center"/>
          </w:tcPr>
          <w:p w14:paraId="3E4B372E" w14:textId="77777777" w:rsidR="008C7109" w:rsidRPr="008C7109" w:rsidRDefault="008C7109" w:rsidP="008C7109">
            <w:pPr>
              <w:jc w:val="center"/>
              <w:rPr>
                <w:szCs w:val="22"/>
              </w:rPr>
            </w:pPr>
          </w:p>
        </w:tc>
        <w:tc>
          <w:tcPr>
            <w:tcW w:w="1002" w:type="dxa"/>
            <w:noWrap/>
            <w:vAlign w:val="center"/>
          </w:tcPr>
          <w:p w14:paraId="6690A757" w14:textId="77777777" w:rsidR="008C7109" w:rsidRPr="008C7109" w:rsidRDefault="008C7109" w:rsidP="008C7109">
            <w:pPr>
              <w:jc w:val="center"/>
              <w:rPr>
                <w:szCs w:val="22"/>
              </w:rPr>
            </w:pPr>
          </w:p>
        </w:tc>
        <w:tc>
          <w:tcPr>
            <w:tcW w:w="1002" w:type="dxa"/>
            <w:noWrap/>
            <w:vAlign w:val="center"/>
          </w:tcPr>
          <w:p w14:paraId="5670A752" w14:textId="77777777" w:rsidR="008C7109" w:rsidRPr="008C7109" w:rsidRDefault="008C7109" w:rsidP="008C7109">
            <w:pPr>
              <w:jc w:val="center"/>
              <w:rPr>
                <w:szCs w:val="22"/>
              </w:rPr>
            </w:pPr>
          </w:p>
        </w:tc>
        <w:tc>
          <w:tcPr>
            <w:tcW w:w="792" w:type="dxa"/>
            <w:noWrap/>
            <w:vAlign w:val="center"/>
          </w:tcPr>
          <w:p w14:paraId="3ACFD226" w14:textId="77777777" w:rsidR="008C7109" w:rsidRPr="008C7109" w:rsidRDefault="008C7109" w:rsidP="008C7109">
            <w:pPr>
              <w:jc w:val="center"/>
              <w:rPr>
                <w:szCs w:val="22"/>
              </w:rPr>
            </w:pPr>
          </w:p>
        </w:tc>
        <w:tc>
          <w:tcPr>
            <w:tcW w:w="1002" w:type="dxa"/>
            <w:noWrap/>
            <w:vAlign w:val="center"/>
          </w:tcPr>
          <w:p w14:paraId="51BDE215" w14:textId="77777777" w:rsidR="008C7109" w:rsidRPr="008C7109" w:rsidRDefault="008C7109" w:rsidP="008C7109">
            <w:pPr>
              <w:jc w:val="center"/>
              <w:rPr>
                <w:szCs w:val="22"/>
              </w:rPr>
            </w:pPr>
          </w:p>
        </w:tc>
        <w:tc>
          <w:tcPr>
            <w:tcW w:w="960" w:type="dxa"/>
            <w:noWrap/>
            <w:vAlign w:val="center"/>
          </w:tcPr>
          <w:p w14:paraId="7C971724" w14:textId="77777777" w:rsidR="008C7109" w:rsidRPr="008C7109" w:rsidRDefault="008C7109" w:rsidP="008C7109">
            <w:pPr>
              <w:jc w:val="center"/>
              <w:rPr>
                <w:szCs w:val="22"/>
              </w:rPr>
            </w:pPr>
          </w:p>
        </w:tc>
        <w:tc>
          <w:tcPr>
            <w:tcW w:w="960" w:type="dxa"/>
            <w:noWrap/>
            <w:vAlign w:val="center"/>
          </w:tcPr>
          <w:p w14:paraId="4B5FC646" w14:textId="77777777" w:rsidR="008C7109" w:rsidRPr="008C7109" w:rsidRDefault="008C7109" w:rsidP="008C7109">
            <w:pPr>
              <w:jc w:val="center"/>
              <w:rPr>
                <w:szCs w:val="22"/>
              </w:rPr>
            </w:pPr>
          </w:p>
        </w:tc>
        <w:tc>
          <w:tcPr>
            <w:tcW w:w="960" w:type="dxa"/>
            <w:noWrap/>
            <w:vAlign w:val="center"/>
          </w:tcPr>
          <w:p w14:paraId="3446518F" w14:textId="77777777" w:rsidR="008C7109" w:rsidRPr="008C7109" w:rsidRDefault="008C7109" w:rsidP="008C7109">
            <w:pPr>
              <w:jc w:val="center"/>
              <w:rPr>
                <w:szCs w:val="22"/>
              </w:rPr>
            </w:pPr>
          </w:p>
        </w:tc>
      </w:tr>
      <w:tr w:rsidR="008C7109" w:rsidRPr="008C7109" w14:paraId="553624B3" w14:textId="77777777" w:rsidTr="001D3171">
        <w:trPr>
          <w:trHeight w:val="288"/>
          <w:jc w:val="center"/>
        </w:trPr>
        <w:tc>
          <w:tcPr>
            <w:tcW w:w="960" w:type="dxa"/>
            <w:tcBorders>
              <w:top w:val="single" w:sz="4" w:space="0" w:color="auto"/>
              <w:left w:val="single" w:sz="4" w:space="0" w:color="auto"/>
              <w:bottom w:val="nil"/>
              <w:right w:val="single" w:sz="4" w:space="0" w:color="auto"/>
            </w:tcBorders>
            <w:noWrap/>
            <w:vAlign w:val="center"/>
            <w:hideMark/>
          </w:tcPr>
          <w:p w14:paraId="6EBBB71E" w14:textId="77777777" w:rsidR="008C7109" w:rsidRPr="008C7109" w:rsidRDefault="008C7109" w:rsidP="008C7109">
            <w:pPr>
              <w:jc w:val="center"/>
              <w:rPr>
                <w:szCs w:val="22"/>
              </w:rPr>
            </w:pPr>
          </w:p>
        </w:tc>
        <w:tc>
          <w:tcPr>
            <w:tcW w:w="960" w:type="dxa"/>
            <w:tcBorders>
              <w:top w:val="single" w:sz="4" w:space="0" w:color="auto"/>
              <w:left w:val="nil"/>
              <w:bottom w:val="nil"/>
              <w:right w:val="single" w:sz="4" w:space="0" w:color="auto"/>
            </w:tcBorders>
            <w:noWrap/>
            <w:vAlign w:val="center"/>
            <w:hideMark/>
          </w:tcPr>
          <w:p w14:paraId="326CDF34" w14:textId="77777777" w:rsidR="008C7109" w:rsidRPr="008C7109" w:rsidRDefault="008C7109" w:rsidP="008C7109">
            <w:pPr>
              <w:jc w:val="center"/>
              <w:rPr>
                <w:szCs w:val="22"/>
              </w:rPr>
            </w:pPr>
          </w:p>
        </w:tc>
        <w:tc>
          <w:tcPr>
            <w:tcW w:w="960" w:type="dxa"/>
            <w:tcBorders>
              <w:top w:val="single" w:sz="4" w:space="0" w:color="auto"/>
              <w:left w:val="nil"/>
              <w:bottom w:val="nil"/>
              <w:right w:val="single" w:sz="4" w:space="0" w:color="auto"/>
            </w:tcBorders>
            <w:noWrap/>
            <w:vAlign w:val="center"/>
            <w:hideMark/>
          </w:tcPr>
          <w:p w14:paraId="15BB978C" w14:textId="77777777" w:rsidR="008C7109" w:rsidRPr="008C7109" w:rsidRDefault="008C7109" w:rsidP="008C7109">
            <w:pPr>
              <w:jc w:val="center"/>
              <w:rPr>
                <w:szCs w:val="22"/>
              </w:rPr>
            </w:pPr>
          </w:p>
        </w:tc>
        <w:tc>
          <w:tcPr>
            <w:tcW w:w="1002" w:type="dxa"/>
            <w:tcBorders>
              <w:top w:val="single" w:sz="4" w:space="0" w:color="auto"/>
              <w:left w:val="nil"/>
              <w:bottom w:val="nil"/>
              <w:right w:val="single" w:sz="4" w:space="0" w:color="auto"/>
            </w:tcBorders>
            <w:noWrap/>
            <w:vAlign w:val="center"/>
            <w:hideMark/>
          </w:tcPr>
          <w:p w14:paraId="58B19E8A" w14:textId="77777777" w:rsidR="008C7109" w:rsidRPr="008C7109" w:rsidRDefault="008C7109" w:rsidP="008C7109">
            <w:pPr>
              <w:jc w:val="center"/>
              <w:rPr>
                <w:szCs w:val="22"/>
              </w:rPr>
            </w:pPr>
          </w:p>
        </w:tc>
        <w:tc>
          <w:tcPr>
            <w:tcW w:w="1002" w:type="dxa"/>
            <w:tcBorders>
              <w:top w:val="single" w:sz="4" w:space="0" w:color="auto"/>
              <w:left w:val="nil"/>
              <w:bottom w:val="nil"/>
              <w:right w:val="single" w:sz="4" w:space="0" w:color="auto"/>
            </w:tcBorders>
            <w:noWrap/>
            <w:vAlign w:val="center"/>
            <w:hideMark/>
          </w:tcPr>
          <w:p w14:paraId="311BF551" w14:textId="77777777" w:rsidR="008C7109" w:rsidRPr="008C7109" w:rsidRDefault="008C7109" w:rsidP="008C7109">
            <w:pPr>
              <w:jc w:val="center"/>
              <w:rPr>
                <w:szCs w:val="22"/>
              </w:rPr>
            </w:pPr>
          </w:p>
        </w:tc>
        <w:tc>
          <w:tcPr>
            <w:tcW w:w="1002" w:type="dxa"/>
            <w:tcBorders>
              <w:top w:val="single" w:sz="4" w:space="0" w:color="auto"/>
              <w:left w:val="nil"/>
              <w:bottom w:val="nil"/>
              <w:right w:val="single" w:sz="4" w:space="0" w:color="auto"/>
            </w:tcBorders>
            <w:noWrap/>
            <w:vAlign w:val="center"/>
            <w:hideMark/>
          </w:tcPr>
          <w:p w14:paraId="189EEE75" w14:textId="77777777" w:rsidR="008C7109" w:rsidRPr="008C7109" w:rsidRDefault="008C7109" w:rsidP="008C7109">
            <w:pPr>
              <w:jc w:val="center"/>
              <w:rPr>
                <w:szCs w:val="22"/>
              </w:rPr>
            </w:pPr>
          </w:p>
        </w:tc>
        <w:tc>
          <w:tcPr>
            <w:tcW w:w="792" w:type="dxa"/>
            <w:tcBorders>
              <w:top w:val="single" w:sz="4" w:space="0" w:color="auto"/>
              <w:left w:val="nil"/>
              <w:bottom w:val="nil"/>
              <w:right w:val="single" w:sz="4" w:space="0" w:color="auto"/>
            </w:tcBorders>
            <w:noWrap/>
            <w:vAlign w:val="center"/>
            <w:hideMark/>
          </w:tcPr>
          <w:p w14:paraId="242EC3AA" w14:textId="77777777" w:rsidR="008C7109" w:rsidRPr="008C7109" w:rsidRDefault="008C7109" w:rsidP="008C7109">
            <w:pPr>
              <w:jc w:val="center"/>
              <w:rPr>
                <w:szCs w:val="22"/>
              </w:rPr>
            </w:pPr>
          </w:p>
        </w:tc>
        <w:tc>
          <w:tcPr>
            <w:tcW w:w="1002" w:type="dxa"/>
            <w:tcBorders>
              <w:top w:val="single" w:sz="4" w:space="0" w:color="auto"/>
              <w:left w:val="nil"/>
              <w:bottom w:val="nil"/>
              <w:right w:val="single" w:sz="4" w:space="0" w:color="auto"/>
            </w:tcBorders>
            <w:noWrap/>
            <w:vAlign w:val="center"/>
            <w:hideMark/>
          </w:tcPr>
          <w:p w14:paraId="31151D56" w14:textId="77777777" w:rsidR="008C7109" w:rsidRPr="008C7109" w:rsidRDefault="008C7109" w:rsidP="008C7109">
            <w:pPr>
              <w:jc w:val="center"/>
              <w:rPr>
                <w:szCs w:val="22"/>
              </w:rPr>
            </w:pPr>
          </w:p>
        </w:tc>
        <w:tc>
          <w:tcPr>
            <w:tcW w:w="960" w:type="dxa"/>
            <w:tcBorders>
              <w:top w:val="single" w:sz="4" w:space="0" w:color="auto"/>
              <w:left w:val="nil"/>
              <w:bottom w:val="nil"/>
              <w:right w:val="single" w:sz="4" w:space="0" w:color="auto"/>
            </w:tcBorders>
            <w:noWrap/>
            <w:vAlign w:val="center"/>
            <w:hideMark/>
          </w:tcPr>
          <w:p w14:paraId="12133826" w14:textId="77777777" w:rsidR="008C7109" w:rsidRPr="008C7109" w:rsidRDefault="008C7109" w:rsidP="008C7109">
            <w:pPr>
              <w:jc w:val="center"/>
              <w:rPr>
                <w:szCs w:val="22"/>
              </w:rPr>
            </w:pPr>
          </w:p>
        </w:tc>
        <w:tc>
          <w:tcPr>
            <w:tcW w:w="1920" w:type="dxa"/>
            <w:gridSpan w:val="2"/>
            <w:tcBorders>
              <w:top w:val="single" w:sz="4" w:space="0" w:color="auto"/>
              <w:left w:val="nil"/>
              <w:bottom w:val="nil"/>
              <w:right w:val="single" w:sz="4" w:space="0" w:color="000000"/>
            </w:tcBorders>
            <w:noWrap/>
            <w:vAlign w:val="center"/>
            <w:hideMark/>
          </w:tcPr>
          <w:p w14:paraId="065DBD5C" w14:textId="77777777" w:rsidR="008C7109" w:rsidRPr="008C7109" w:rsidRDefault="008C7109" w:rsidP="008C7109">
            <w:pPr>
              <w:jc w:val="center"/>
              <w:rPr>
                <w:szCs w:val="22"/>
              </w:rPr>
            </w:pPr>
            <w:r w:rsidRPr="008C7109">
              <w:rPr>
                <w:szCs w:val="22"/>
              </w:rPr>
              <w:t>Total Luminance</w:t>
            </w:r>
          </w:p>
        </w:tc>
      </w:tr>
      <w:tr w:rsidR="008C7109" w:rsidRPr="008C7109" w14:paraId="22D2EA98" w14:textId="77777777" w:rsidTr="001D3171">
        <w:trPr>
          <w:trHeight w:val="288"/>
          <w:jc w:val="center"/>
        </w:trPr>
        <w:tc>
          <w:tcPr>
            <w:tcW w:w="960" w:type="dxa"/>
            <w:tcBorders>
              <w:top w:val="nil"/>
              <w:left w:val="single" w:sz="4" w:space="0" w:color="auto"/>
              <w:bottom w:val="nil"/>
              <w:right w:val="single" w:sz="4" w:space="0" w:color="auto"/>
            </w:tcBorders>
            <w:noWrap/>
            <w:vAlign w:val="center"/>
            <w:hideMark/>
          </w:tcPr>
          <w:p w14:paraId="192ABC4C"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17867E36" w14:textId="77777777" w:rsidR="008C7109" w:rsidRPr="008C7109" w:rsidRDefault="008C7109" w:rsidP="008C7109">
            <w:pPr>
              <w:jc w:val="center"/>
              <w:rPr>
                <w:szCs w:val="22"/>
              </w:rPr>
            </w:pPr>
            <w:r w:rsidRPr="008C7109">
              <w:rPr>
                <w:szCs w:val="22"/>
              </w:rPr>
              <w:t>x</w:t>
            </w:r>
          </w:p>
        </w:tc>
        <w:tc>
          <w:tcPr>
            <w:tcW w:w="960" w:type="dxa"/>
            <w:tcBorders>
              <w:top w:val="nil"/>
              <w:left w:val="nil"/>
              <w:bottom w:val="nil"/>
              <w:right w:val="single" w:sz="4" w:space="0" w:color="auto"/>
            </w:tcBorders>
            <w:noWrap/>
            <w:vAlign w:val="center"/>
            <w:hideMark/>
          </w:tcPr>
          <w:p w14:paraId="1DA4A5DA" w14:textId="77777777" w:rsidR="008C7109" w:rsidRPr="008C7109" w:rsidRDefault="008C7109" w:rsidP="008C7109">
            <w:pPr>
              <w:jc w:val="center"/>
              <w:rPr>
                <w:szCs w:val="22"/>
              </w:rPr>
            </w:pPr>
            <w:r w:rsidRPr="008C7109">
              <w:rPr>
                <w:szCs w:val="22"/>
              </w:rPr>
              <w:t>Y</w:t>
            </w:r>
          </w:p>
        </w:tc>
        <w:tc>
          <w:tcPr>
            <w:tcW w:w="1002" w:type="dxa"/>
            <w:tcBorders>
              <w:top w:val="nil"/>
              <w:left w:val="nil"/>
              <w:bottom w:val="nil"/>
              <w:right w:val="single" w:sz="4" w:space="0" w:color="auto"/>
            </w:tcBorders>
            <w:noWrap/>
            <w:vAlign w:val="center"/>
            <w:hideMark/>
          </w:tcPr>
          <w:p w14:paraId="507B5391" w14:textId="77777777" w:rsidR="008C7109" w:rsidRPr="008C7109" w:rsidRDefault="008C7109" w:rsidP="008C7109">
            <w:pPr>
              <w:jc w:val="center"/>
              <w:rPr>
                <w:szCs w:val="22"/>
              </w:rPr>
            </w:pPr>
            <w:r w:rsidRPr="008C7109">
              <w:rPr>
                <w:szCs w:val="22"/>
              </w:rPr>
              <w:t>x</w:t>
            </w:r>
          </w:p>
        </w:tc>
        <w:tc>
          <w:tcPr>
            <w:tcW w:w="1002" w:type="dxa"/>
            <w:tcBorders>
              <w:top w:val="nil"/>
              <w:left w:val="nil"/>
              <w:bottom w:val="nil"/>
              <w:right w:val="single" w:sz="4" w:space="0" w:color="auto"/>
            </w:tcBorders>
            <w:noWrap/>
            <w:vAlign w:val="center"/>
            <w:hideMark/>
          </w:tcPr>
          <w:p w14:paraId="2641C46F" w14:textId="77777777" w:rsidR="008C7109" w:rsidRPr="008C7109" w:rsidRDefault="008C7109" w:rsidP="008C7109">
            <w:pPr>
              <w:jc w:val="center"/>
              <w:rPr>
                <w:szCs w:val="22"/>
              </w:rPr>
            </w:pPr>
            <w:r w:rsidRPr="008C7109">
              <w:rPr>
                <w:szCs w:val="22"/>
              </w:rPr>
              <w:t>Y</w:t>
            </w:r>
          </w:p>
        </w:tc>
        <w:tc>
          <w:tcPr>
            <w:tcW w:w="1002" w:type="dxa"/>
            <w:tcBorders>
              <w:top w:val="nil"/>
              <w:left w:val="nil"/>
              <w:bottom w:val="nil"/>
              <w:right w:val="single" w:sz="4" w:space="0" w:color="auto"/>
            </w:tcBorders>
            <w:noWrap/>
            <w:vAlign w:val="center"/>
            <w:hideMark/>
          </w:tcPr>
          <w:p w14:paraId="4419993C" w14:textId="77777777" w:rsidR="008C7109" w:rsidRPr="008C7109" w:rsidRDefault="008C7109" w:rsidP="008C7109">
            <w:pPr>
              <w:jc w:val="center"/>
              <w:rPr>
                <w:szCs w:val="22"/>
              </w:rPr>
            </w:pPr>
            <w:r w:rsidRPr="008C7109">
              <w:rPr>
                <w:szCs w:val="22"/>
              </w:rPr>
              <w:t>x</w:t>
            </w:r>
          </w:p>
        </w:tc>
        <w:tc>
          <w:tcPr>
            <w:tcW w:w="792" w:type="dxa"/>
            <w:tcBorders>
              <w:top w:val="nil"/>
              <w:left w:val="nil"/>
              <w:bottom w:val="nil"/>
              <w:right w:val="single" w:sz="4" w:space="0" w:color="auto"/>
            </w:tcBorders>
            <w:noWrap/>
            <w:vAlign w:val="center"/>
            <w:hideMark/>
          </w:tcPr>
          <w:p w14:paraId="25187481" w14:textId="77777777" w:rsidR="008C7109" w:rsidRPr="008C7109" w:rsidRDefault="008C7109" w:rsidP="008C7109">
            <w:pPr>
              <w:jc w:val="center"/>
              <w:rPr>
                <w:szCs w:val="22"/>
              </w:rPr>
            </w:pPr>
            <w:r w:rsidRPr="008C7109">
              <w:rPr>
                <w:szCs w:val="22"/>
              </w:rPr>
              <w:t>y</w:t>
            </w:r>
          </w:p>
        </w:tc>
        <w:tc>
          <w:tcPr>
            <w:tcW w:w="1002" w:type="dxa"/>
            <w:tcBorders>
              <w:top w:val="nil"/>
              <w:left w:val="nil"/>
              <w:bottom w:val="nil"/>
              <w:right w:val="single" w:sz="4" w:space="0" w:color="auto"/>
            </w:tcBorders>
            <w:noWrap/>
            <w:vAlign w:val="center"/>
            <w:hideMark/>
          </w:tcPr>
          <w:p w14:paraId="363A4D4F" w14:textId="77777777" w:rsidR="008C7109" w:rsidRPr="008C7109" w:rsidRDefault="008C7109" w:rsidP="008C7109">
            <w:pPr>
              <w:jc w:val="center"/>
              <w:rPr>
                <w:szCs w:val="22"/>
              </w:rPr>
            </w:pPr>
            <w:r w:rsidRPr="008C7109">
              <w:rPr>
                <w:szCs w:val="22"/>
              </w:rPr>
              <w:t>x</w:t>
            </w:r>
          </w:p>
        </w:tc>
        <w:tc>
          <w:tcPr>
            <w:tcW w:w="960" w:type="dxa"/>
            <w:tcBorders>
              <w:top w:val="nil"/>
              <w:left w:val="nil"/>
              <w:bottom w:val="nil"/>
              <w:right w:val="single" w:sz="4" w:space="0" w:color="auto"/>
            </w:tcBorders>
            <w:noWrap/>
            <w:vAlign w:val="center"/>
            <w:hideMark/>
          </w:tcPr>
          <w:p w14:paraId="75B49E5F" w14:textId="77777777" w:rsidR="008C7109" w:rsidRPr="008C7109" w:rsidRDefault="008C7109" w:rsidP="008C7109">
            <w:pPr>
              <w:jc w:val="center"/>
              <w:rPr>
                <w:szCs w:val="22"/>
              </w:rPr>
            </w:pPr>
            <w:r w:rsidRPr="008C7109">
              <w:rPr>
                <w:szCs w:val="22"/>
              </w:rPr>
              <w:t>y</w:t>
            </w:r>
          </w:p>
        </w:tc>
        <w:tc>
          <w:tcPr>
            <w:tcW w:w="1920" w:type="dxa"/>
            <w:gridSpan w:val="2"/>
            <w:tcBorders>
              <w:top w:val="nil"/>
              <w:left w:val="nil"/>
              <w:bottom w:val="nil"/>
              <w:right w:val="single" w:sz="4" w:space="0" w:color="000000"/>
            </w:tcBorders>
            <w:noWrap/>
            <w:vAlign w:val="center"/>
            <w:hideMark/>
          </w:tcPr>
          <w:p w14:paraId="2D2C9813" w14:textId="77777777" w:rsidR="008C7109" w:rsidRPr="008C7109" w:rsidRDefault="008C7109" w:rsidP="008C7109">
            <w:pPr>
              <w:jc w:val="center"/>
              <w:rPr>
                <w:szCs w:val="22"/>
              </w:rPr>
            </w:pPr>
            <w:r w:rsidRPr="008C7109">
              <w:rPr>
                <w:szCs w:val="22"/>
              </w:rPr>
              <w:t>Factor YT (%)</w:t>
            </w:r>
          </w:p>
        </w:tc>
      </w:tr>
      <w:tr w:rsidR="008C7109" w:rsidRPr="008C7109" w14:paraId="368A507A" w14:textId="77777777" w:rsidTr="001D3171">
        <w:trPr>
          <w:trHeight w:val="288"/>
          <w:jc w:val="center"/>
        </w:trPr>
        <w:tc>
          <w:tcPr>
            <w:tcW w:w="960" w:type="dxa"/>
            <w:tcBorders>
              <w:top w:val="nil"/>
              <w:left w:val="single" w:sz="4" w:space="0" w:color="auto"/>
              <w:bottom w:val="nil"/>
              <w:right w:val="single" w:sz="4" w:space="0" w:color="auto"/>
            </w:tcBorders>
            <w:noWrap/>
            <w:vAlign w:val="center"/>
            <w:hideMark/>
          </w:tcPr>
          <w:p w14:paraId="107E8CF5"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61F24E45"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27B1A0E8" w14:textId="77777777" w:rsidR="008C7109" w:rsidRPr="008C7109" w:rsidRDefault="008C7109" w:rsidP="008C7109">
            <w:pPr>
              <w:jc w:val="center"/>
              <w:rPr>
                <w:szCs w:val="22"/>
              </w:rPr>
            </w:pPr>
          </w:p>
        </w:tc>
        <w:tc>
          <w:tcPr>
            <w:tcW w:w="1002" w:type="dxa"/>
            <w:tcBorders>
              <w:top w:val="nil"/>
              <w:left w:val="nil"/>
              <w:bottom w:val="nil"/>
              <w:right w:val="single" w:sz="4" w:space="0" w:color="auto"/>
            </w:tcBorders>
            <w:noWrap/>
            <w:vAlign w:val="center"/>
            <w:hideMark/>
          </w:tcPr>
          <w:p w14:paraId="6476B713" w14:textId="77777777" w:rsidR="008C7109" w:rsidRPr="008C7109" w:rsidRDefault="008C7109" w:rsidP="008C7109">
            <w:pPr>
              <w:jc w:val="center"/>
              <w:rPr>
                <w:szCs w:val="22"/>
              </w:rPr>
            </w:pPr>
          </w:p>
        </w:tc>
        <w:tc>
          <w:tcPr>
            <w:tcW w:w="1002" w:type="dxa"/>
            <w:tcBorders>
              <w:top w:val="nil"/>
              <w:left w:val="nil"/>
              <w:bottom w:val="nil"/>
              <w:right w:val="single" w:sz="4" w:space="0" w:color="auto"/>
            </w:tcBorders>
            <w:noWrap/>
            <w:vAlign w:val="center"/>
            <w:hideMark/>
          </w:tcPr>
          <w:p w14:paraId="395A4917" w14:textId="77777777" w:rsidR="008C7109" w:rsidRPr="008C7109" w:rsidRDefault="008C7109" w:rsidP="008C7109">
            <w:pPr>
              <w:jc w:val="center"/>
              <w:rPr>
                <w:szCs w:val="22"/>
              </w:rPr>
            </w:pPr>
          </w:p>
        </w:tc>
        <w:tc>
          <w:tcPr>
            <w:tcW w:w="1002" w:type="dxa"/>
            <w:tcBorders>
              <w:top w:val="nil"/>
              <w:left w:val="nil"/>
              <w:bottom w:val="nil"/>
              <w:right w:val="single" w:sz="4" w:space="0" w:color="auto"/>
            </w:tcBorders>
            <w:noWrap/>
            <w:vAlign w:val="center"/>
            <w:hideMark/>
          </w:tcPr>
          <w:p w14:paraId="57B2D47D" w14:textId="77777777" w:rsidR="008C7109" w:rsidRPr="008C7109" w:rsidRDefault="008C7109" w:rsidP="008C7109">
            <w:pPr>
              <w:jc w:val="center"/>
              <w:rPr>
                <w:szCs w:val="22"/>
              </w:rPr>
            </w:pPr>
          </w:p>
        </w:tc>
        <w:tc>
          <w:tcPr>
            <w:tcW w:w="792" w:type="dxa"/>
            <w:tcBorders>
              <w:top w:val="nil"/>
              <w:left w:val="nil"/>
              <w:bottom w:val="nil"/>
              <w:right w:val="single" w:sz="4" w:space="0" w:color="auto"/>
            </w:tcBorders>
            <w:noWrap/>
            <w:vAlign w:val="center"/>
            <w:hideMark/>
          </w:tcPr>
          <w:p w14:paraId="028EB726" w14:textId="77777777" w:rsidR="008C7109" w:rsidRPr="008C7109" w:rsidRDefault="008C7109" w:rsidP="008C7109">
            <w:pPr>
              <w:jc w:val="center"/>
              <w:rPr>
                <w:szCs w:val="22"/>
              </w:rPr>
            </w:pPr>
          </w:p>
        </w:tc>
        <w:tc>
          <w:tcPr>
            <w:tcW w:w="1002" w:type="dxa"/>
            <w:tcBorders>
              <w:top w:val="nil"/>
              <w:left w:val="nil"/>
              <w:bottom w:val="nil"/>
              <w:right w:val="single" w:sz="4" w:space="0" w:color="auto"/>
            </w:tcBorders>
            <w:noWrap/>
            <w:vAlign w:val="center"/>
            <w:hideMark/>
          </w:tcPr>
          <w:p w14:paraId="3814EA52" w14:textId="77777777" w:rsidR="008C7109" w:rsidRPr="008C7109" w:rsidRDefault="008C7109" w:rsidP="008C7109">
            <w:pPr>
              <w:jc w:val="center"/>
              <w:rPr>
                <w:szCs w:val="22"/>
              </w:rPr>
            </w:pPr>
          </w:p>
        </w:tc>
        <w:tc>
          <w:tcPr>
            <w:tcW w:w="960" w:type="dxa"/>
            <w:tcBorders>
              <w:top w:val="nil"/>
              <w:left w:val="nil"/>
              <w:bottom w:val="nil"/>
              <w:right w:val="single" w:sz="4" w:space="0" w:color="auto"/>
            </w:tcBorders>
            <w:noWrap/>
            <w:vAlign w:val="center"/>
            <w:hideMark/>
          </w:tcPr>
          <w:p w14:paraId="156E2A81" w14:textId="77777777" w:rsidR="008C7109" w:rsidRPr="008C7109" w:rsidRDefault="008C7109" w:rsidP="008C7109">
            <w:pPr>
              <w:jc w:val="center"/>
              <w:rPr>
                <w:szCs w:val="22"/>
              </w:rPr>
            </w:pPr>
          </w:p>
        </w:tc>
        <w:tc>
          <w:tcPr>
            <w:tcW w:w="1920" w:type="dxa"/>
            <w:gridSpan w:val="2"/>
            <w:tcBorders>
              <w:top w:val="nil"/>
              <w:left w:val="nil"/>
              <w:bottom w:val="nil"/>
              <w:right w:val="single" w:sz="4" w:space="0" w:color="000000"/>
            </w:tcBorders>
            <w:noWrap/>
            <w:vAlign w:val="center"/>
            <w:hideMark/>
          </w:tcPr>
          <w:p w14:paraId="3E6151C2" w14:textId="77777777" w:rsidR="008C7109" w:rsidRPr="008C7109" w:rsidRDefault="008C7109" w:rsidP="008C7109">
            <w:pPr>
              <w:jc w:val="center"/>
              <w:rPr>
                <w:szCs w:val="22"/>
              </w:rPr>
            </w:pPr>
            <w:r w:rsidRPr="008C7109">
              <w:rPr>
                <w:szCs w:val="22"/>
              </w:rPr>
              <w:t>Min</w:t>
            </w:r>
          </w:p>
        </w:tc>
      </w:tr>
      <w:tr w:rsidR="008C7109" w:rsidRPr="008C7109" w14:paraId="2B13996B" w14:textId="77777777" w:rsidTr="001D3171">
        <w:trPr>
          <w:trHeight w:val="288"/>
          <w:jc w:val="center"/>
        </w:trPr>
        <w:tc>
          <w:tcPr>
            <w:tcW w:w="960" w:type="dxa"/>
            <w:tcBorders>
              <w:top w:val="single" w:sz="4" w:space="0" w:color="auto"/>
              <w:left w:val="single" w:sz="4" w:space="0" w:color="auto"/>
              <w:bottom w:val="nil"/>
              <w:right w:val="single" w:sz="4" w:space="0" w:color="auto"/>
            </w:tcBorders>
            <w:noWrap/>
            <w:vAlign w:val="center"/>
            <w:hideMark/>
          </w:tcPr>
          <w:p w14:paraId="733E195B" w14:textId="77777777" w:rsidR="008C7109" w:rsidRPr="008C7109" w:rsidRDefault="008C7109" w:rsidP="008C7109">
            <w:pPr>
              <w:jc w:val="left"/>
              <w:rPr>
                <w:szCs w:val="22"/>
              </w:rPr>
            </w:pPr>
            <w:r w:rsidRPr="008C7109">
              <w:rPr>
                <w:szCs w:val="22"/>
              </w:rPr>
              <w:t>Fluor.</w:t>
            </w:r>
          </w:p>
        </w:tc>
        <w:tc>
          <w:tcPr>
            <w:tcW w:w="960" w:type="dxa"/>
            <w:tcBorders>
              <w:top w:val="single" w:sz="4" w:space="0" w:color="auto"/>
              <w:left w:val="nil"/>
              <w:bottom w:val="nil"/>
              <w:right w:val="single" w:sz="4" w:space="0" w:color="auto"/>
            </w:tcBorders>
            <w:noWrap/>
            <w:vAlign w:val="center"/>
          </w:tcPr>
          <w:p w14:paraId="305FAB60" w14:textId="77777777" w:rsidR="008C7109" w:rsidRPr="008C7109" w:rsidRDefault="008C7109" w:rsidP="008C7109">
            <w:pPr>
              <w:jc w:val="center"/>
              <w:rPr>
                <w:szCs w:val="22"/>
              </w:rPr>
            </w:pPr>
          </w:p>
        </w:tc>
        <w:tc>
          <w:tcPr>
            <w:tcW w:w="960" w:type="dxa"/>
            <w:tcBorders>
              <w:top w:val="single" w:sz="4" w:space="0" w:color="auto"/>
              <w:left w:val="nil"/>
              <w:bottom w:val="nil"/>
              <w:right w:val="single" w:sz="4" w:space="0" w:color="auto"/>
            </w:tcBorders>
            <w:noWrap/>
            <w:vAlign w:val="center"/>
          </w:tcPr>
          <w:p w14:paraId="613E4A54" w14:textId="77777777" w:rsidR="008C7109" w:rsidRPr="008C7109" w:rsidRDefault="008C7109" w:rsidP="008C7109">
            <w:pPr>
              <w:jc w:val="center"/>
              <w:rPr>
                <w:szCs w:val="22"/>
              </w:rPr>
            </w:pPr>
          </w:p>
        </w:tc>
        <w:tc>
          <w:tcPr>
            <w:tcW w:w="1002" w:type="dxa"/>
            <w:tcBorders>
              <w:top w:val="single" w:sz="4" w:space="0" w:color="auto"/>
              <w:left w:val="nil"/>
              <w:bottom w:val="nil"/>
              <w:right w:val="single" w:sz="4" w:space="0" w:color="auto"/>
            </w:tcBorders>
            <w:noWrap/>
            <w:vAlign w:val="center"/>
          </w:tcPr>
          <w:p w14:paraId="2DB66B28" w14:textId="77777777" w:rsidR="008C7109" w:rsidRPr="008C7109" w:rsidRDefault="008C7109" w:rsidP="008C7109">
            <w:pPr>
              <w:jc w:val="center"/>
              <w:rPr>
                <w:szCs w:val="22"/>
              </w:rPr>
            </w:pPr>
          </w:p>
        </w:tc>
        <w:tc>
          <w:tcPr>
            <w:tcW w:w="1002" w:type="dxa"/>
            <w:tcBorders>
              <w:top w:val="single" w:sz="4" w:space="0" w:color="auto"/>
              <w:left w:val="nil"/>
              <w:bottom w:val="nil"/>
              <w:right w:val="single" w:sz="4" w:space="0" w:color="auto"/>
            </w:tcBorders>
            <w:noWrap/>
            <w:vAlign w:val="center"/>
          </w:tcPr>
          <w:p w14:paraId="4A39B3EC" w14:textId="77777777" w:rsidR="008C7109" w:rsidRPr="008C7109" w:rsidRDefault="008C7109" w:rsidP="008C7109">
            <w:pPr>
              <w:jc w:val="center"/>
              <w:rPr>
                <w:szCs w:val="22"/>
              </w:rPr>
            </w:pPr>
          </w:p>
        </w:tc>
        <w:tc>
          <w:tcPr>
            <w:tcW w:w="1002" w:type="dxa"/>
            <w:tcBorders>
              <w:top w:val="single" w:sz="4" w:space="0" w:color="auto"/>
              <w:left w:val="nil"/>
              <w:bottom w:val="nil"/>
              <w:right w:val="single" w:sz="4" w:space="0" w:color="auto"/>
            </w:tcBorders>
            <w:noWrap/>
            <w:vAlign w:val="center"/>
          </w:tcPr>
          <w:p w14:paraId="22B84F22" w14:textId="77777777" w:rsidR="008C7109" w:rsidRPr="008C7109" w:rsidRDefault="008C7109" w:rsidP="008C7109">
            <w:pPr>
              <w:jc w:val="center"/>
              <w:rPr>
                <w:szCs w:val="22"/>
              </w:rPr>
            </w:pPr>
          </w:p>
        </w:tc>
        <w:tc>
          <w:tcPr>
            <w:tcW w:w="792" w:type="dxa"/>
            <w:tcBorders>
              <w:top w:val="single" w:sz="4" w:space="0" w:color="auto"/>
              <w:left w:val="nil"/>
              <w:bottom w:val="nil"/>
              <w:right w:val="single" w:sz="4" w:space="0" w:color="auto"/>
            </w:tcBorders>
            <w:noWrap/>
            <w:vAlign w:val="center"/>
          </w:tcPr>
          <w:p w14:paraId="13C0A27F" w14:textId="77777777" w:rsidR="008C7109" w:rsidRPr="008C7109" w:rsidRDefault="008C7109" w:rsidP="008C7109">
            <w:pPr>
              <w:jc w:val="center"/>
              <w:rPr>
                <w:szCs w:val="22"/>
              </w:rPr>
            </w:pPr>
          </w:p>
        </w:tc>
        <w:tc>
          <w:tcPr>
            <w:tcW w:w="1002" w:type="dxa"/>
            <w:tcBorders>
              <w:top w:val="single" w:sz="4" w:space="0" w:color="auto"/>
              <w:left w:val="nil"/>
              <w:bottom w:val="nil"/>
              <w:right w:val="single" w:sz="4" w:space="0" w:color="auto"/>
            </w:tcBorders>
            <w:noWrap/>
            <w:vAlign w:val="center"/>
          </w:tcPr>
          <w:p w14:paraId="60269F20" w14:textId="77777777" w:rsidR="008C7109" w:rsidRPr="008C7109" w:rsidRDefault="008C7109" w:rsidP="008C7109">
            <w:pPr>
              <w:jc w:val="center"/>
              <w:rPr>
                <w:szCs w:val="22"/>
              </w:rPr>
            </w:pPr>
          </w:p>
        </w:tc>
        <w:tc>
          <w:tcPr>
            <w:tcW w:w="960" w:type="dxa"/>
            <w:tcBorders>
              <w:top w:val="single" w:sz="4" w:space="0" w:color="auto"/>
              <w:left w:val="nil"/>
              <w:bottom w:val="nil"/>
              <w:right w:val="single" w:sz="4" w:space="0" w:color="auto"/>
            </w:tcBorders>
            <w:noWrap/>
            <w:vAlign w:val="center"/>
          </w:tcPr>
          <w:p w14:paraId="44B38948" w14:textId="77777777" w:rsidR="008C7109" w:rsidRPr="008C7109" w:rsidRDefault="008C7109" w:rsidP="008C7109">
            <w:pPr>
              <w:jc w:val="center"/>
              <w:rPr>
                <w:szCs w:val="22"/>
              </w:rPr>
            </w:pPr>
          </w:p>
        </w:tc>
        <w:tc>
          <w:tcPr>
            <w:tcW w:w="1920" w:type="dxa"/>
            <w:gridSpan w:val="2"/>
            <w:tcBorders>
              <w:top w:val="single" w:sz="4" w:space="0" w:color="auto"/>
              <w:left w:val="nil"/>
              <w:bottom w:val="nil"/>
              <w:right w:val="single" w:sz="4" w:space="0" w:color="000000"/>
            </w:tcBorders>
            <w:noWrap/>
            <w:vAlign w:val="center"/>
          </w:tcPr>
          <w:p w14:paraId="36A67642" w14:textId="77777777" w:rsidR="008C7109" w:rsidRPr="008C7109" w:rsidRDefault="008C7109" w:rsidP="008C7109">
            <w:pPr>
              <w:jc w:val="center"/>
              <w:rPr>
                <w:szCs w:val="22"/>
              </w:rPr>
            </w:pPr>
          </w:p>
        </w:tc>
      </w:tr>
      <w:tr w:rsidR="008C7109" w:rsidRPr="008C7109" w14:paraId="640CEB3D" w14:textId="77777777" w:rsidTr="001D3171">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29F176BD" w14:textId="77777777" w:rsidR="008C7109" w:rsidRPr="008C7109" w:rsidRDefault="008C7109" w:rsidP="008C7109">
            <w:pPr>
              <w:jc w:val="left"/>
              <w:rPr>
                <w:szCs w:val="22"/>
              </w:rPr>
            </w:pPr>
            <w:r w:rsidRPr="008C7109">
              <w:rPr>
                <w:szCs w:val="22"/>
              </w:rPr>
              <w:t>Yellow</w:t>
            </w:r>
          </w:p>
        </w:tc>
        <w:tc>
          <w:tcPr>
            <w:tcW w:w="960" w:type="dxa"/>
            <w:tcBorders>
              <w:top w:val="nil"/>
              <w:left w:val="nil"/>
              <w:bottom w:val="single" w:sz="4" w:space="0" w:color="auto"/>
              <w:right w:val="single" w:sz="4" w:space="0" w:color="auto"/>
            </w:tcBorders>
            <w:noWrap/>
            <w:hideMark/>
          </w:tcPr>
          <w:p w14:paraId="2F64F479" w14:textId="77777777" w:rsidR="008C7109" w:rsidRPr="008C7109" w:rsidRDefault="008C7109" w:rsidP="008C7109">
            <w:pPr>
              <w:jc w:val="center"/>
              <w:rPr>
                <w:szCs w:val="22"/>
              </w:rPr>
            </w:pPr>
            <w:r w:rsidRPr="008C7109">
              <w:t>0.521</w:t>
            </w:r>
          </w:p>
        </w:tc>
        <w:tc>
          <w:tcPr>
            <w:tcW w:w="960" w:type="dxa"/>
            <w:tcBorders>
              <w:top w:val="nil"/>
              <w:left w:val="nil"/>
              <w:bottom w:val="single" w:sz="4" w:space="0" w:color="auto"/>
              <w:right w:val="single" w:sz="4" w:space="0" w:color="auto"/>
            </w:tcBorders>
            <w:noWrap/>
            <w:hideMark/>
          </w:tcPr>
          <w:p w14:paraId="4F038831" w14:textId="77777777" w:rsidR="008C7109" w:rsidRPr="008C7109" w:rsidRDefault="008C7109" w:rsidP="008C7109">
            <w:pPr>
              <w:jc w:val="center"/>
              <w:rPr>
                <w:szCs w:val="22"/>
              </w:rPr>
            </w:pPr>
            <w:r w:rsidRPr="008C7109">
              <w:t>0.424</w:t>
            </w:r>
          </w:p>
        </w:tc>
        <w:tc>
          <w:tcPr>
            <w:tcW w:w="1002" w:type="dxa"/>
            <w:tcBorders>
              <w:top w:val="nil"/>
              <w:left w:val="nil"/>
              <w:bottom w:val="single" w:sz="4" w:space="0" w:color="auto"/>
              <w:right w:val="single" w:sz="4" w:space="0" w:color="auto"/>
            </w:tcBorders>
            <w:noWrap/>
            <w:hideMark/>
          </w:tcPr>
          <w:p w14:paraId="558CAF85" w14:textId="77777777" w:rsidR="008C7109" w:rsidRPr="008C7109" w:rsidRDefault="008C7109" w:rsidP="008C7109">
            <w:pPr>
              <w:jc w:val="center"/>
              <w:rPr>
                <w:szCs w:val="22"/>
              </w:rPr>
            </w:pPr>
            <w:r w:rsidRPr="008C7109">
              <w:t>0.557</w:t>
            </w:r>
          </w:p>
        </w:tc>
        <w:tc>
          <w:tcPr>
            <w:tcW w:w="1002" w:type="dxa"/>
            <w:tcBorders>
              <w:top w:val="nil"/>
              <w:left w:val="nil"/>
              <w:bottom w:val="single" w:sz="4" w:space="0" w:color="auto"/>
              <w:right w:val="single" w:sz="4" w:space="0" w:color="auto"/>
            </w:tcBorders>
            <w:noWrap/>
            <w:hideMark/>
          </w:tcPr>
          <w:p w14:paraId="1136547D" w14:textId="77777777" w:rsidR="008C7109" w:rsidRPr="008C7109" w:rsidRDefault="008C7109" w:rsidP="008C7109">
            <w:pPr>
              <w:jc w:val="center"/>
              <w:rPr>
                <w:szCs w:val="22"/>
              </w:rPr>
            </w:pPr>
            <w:r w:rsidRPr="008C7109">
              <w:t>0.442</w:t>
            </w:r>
          </w:p>
        </w:tc>
        <w:tc>
          <w:tcPr>
            <w:tcW w:w="1002" w:type="dxa"/>
            <w:tcBorders>
              <w:top w:val="nil"/>
              <w:left w:val="nil"/>
              <w:bottom w:val="single" w:sz="4" w:space="0" w:color="auto"/>
              <w:right w:val="single" w:sz="4" w:space="0" w:color="auto"/>
            </w:tcBorders>
            <w:noWrap/>
            <w:hideMark/>
          </w:tcPr>
          <w:p w14:paraId="6C540AB6" w14:textId="77777777" w:rsidR="008C7109" w:rsidRPr="008C7109" w:rsidRDefault="008C7109" w:rsidP="008C7109">
            <w:pPr>
              <w:jc w:val="center"/>
              <w:rPr>
                <w:szCs w:val="22"/>
              </w:rPr>
            </w:pPr>
            <w:r w:rsidRPr="008C7109">
              <w:t>0.479</w:t>
            </w:r>
          </w:p>
        </w:tc>
        <w:tc>
          <w:tcPr>
            <w:tcW w:w="792" w:type="dxa"/>
            <w:tcBorders>
              <w:top w:val="nil"/>
              <w:left w:val="nil"/>
              <w:bottom w:val="single" w:sz="4" w:space="0" w:color="auto"/>
              <w:right w:val="single" w:sz="4" w:space="0" w:color="auto"/>
            </w:tcBorders>
            <w:noWrap/>
            <w:hideMark/>
          </w:tcPr>
          <w:p w14:paraId="6F2BD702" w14:textId="77777777" w:rsidR="008C7109" w:rsidRPr="008C7109" w:rsidRDefault="008C7109" w:rsidP="008C7109">
            <w:pPr>
              <w:jc w:val="center"/>
              <w:rPr>
                <w:szCs w:val="22"/>
              </w:rPr>
            </w:pPr>
            <w:r w:rsidRPr="008C7109">
              <w:t>0.520</w:t>
            </w:r>
          </w:p>
        </w:tc>
        <w:tc>
          <w:tcPr>
            <w:tcW w:w="1002" w:type="dxa"/>
            <w:tcBorders>
              <w:top w:val="nil"/>
              <w:left w:val="nil"/>
              <w:bottom w:val="single" w:sz="4" w:space="0" w:color="auto"/>
              <w:right w:val="single" w:sz="4" w:space="0" w:color="auto"/>
            </w:tcBorders>
            <w:noWrap/>
            <w:hideMark/>
          </w:tcPr>
          <w:p w14:paraId="7FE46155" w14:textId="77777777" w:rsidR="008C7109" w:rsidRPr="008C7109" w:rsidRDefault="008C7109" w:rsidP="008C7109">
            <w:pPr>
              <w:jc w:val="center"/>
              <w:rPr>
                <w:szCs w:val="22"/>
              </w:rPr>
            </w:pPr>
            <w:r w:rsidRPr="008C7109">
              <w:t>0.454</w:t>
            </w:r>
          </w:p>
        </w:tc>
        <w:tc>
          <w:tcPr>
            <w:tcW w:w="960" w:type="dxa"/>
            <w:tcBorders>
              <w:top w:val="nil"/>
              <w:left w:val="nil"/>
              <w:bottom w:val="single" w:sz="4" w:space="0" w:color="auto"/>
              <w:right w:val="single" w:sz="4" w:space="0" w:color="auto"/>
            </w:tcBorders>
            <w:noWrap/>
            <w:hideMark/>
          </w:tcPr>
          <w:p w14:paraId="7776F296" w14:textId="77777777" w:rsidR="008C7109" w:rsidRPr="008C7109" w:rsidRDefault="008C7109" w:rsidP="008C7109">
            <w:pPr>
              <w:jc w:val="center"/>
              <w:rPr>
                <w:szCs w:val="22"/>
              </w:rPr>
            </w:pPr>
            <w:r w:rsidRPr="008C7109">
              <w:t>0.491</w:t>
            </w:r>
          </w:p>
        </w:tc>
        <w:tc>
          <w:tcPr>
            <w:tcW w:w="1920" w:type="dxa"/>
            <w:gridSpan w:val="2"/>
            <w:tcBorders>
              <w:top w:val="nil"/>
              <w:left w:val="nil"/>
              <w:bottom w:val="single" w:sz="4" w:space="0" w:color="auto"/>
              <w:right w:val="single" w:sz="4" w:space="0" w:color="auto"/>
            </w:tcBorders>
            <w:noWrap/>
            <w:hideMark/>
          </w:tcPr>
          <w:p w14:paraId="2945564F" w14:textId="77777777" w:rsidR="008C7109" w:rsidRPr="008C7109" w:rsidRDefault="008C7109" w:rsidP="008C7109">
            <w:pPr>
              <w:jc w:val="center"/>
              <w:rPr>
                <w:szCs w:val="22"/>
              </w:rPr>
            </w:pPr>
            <w:r w:rsidRPr="008C7109">
              <w:t>40</w:t>
            </w:r>
          </w:p>
        </w:tc>
      </w:tr>
    </w:tbl>
    <w:p w14:paraId="2849DA42" w14:textId="77777777" w:rsidR="00DB2126" w:rsidRPr="008C7109" w:rsidRDefault="00DB2126" w:rsidP="008C7109">
      <w:pPr>
        <w:rPr>
          <w:szCs w:val="22"/>
          <w:highlight w:val="yellow"/>
          <w:u w:val="single"/>
        </w:rPr>
      </w:pPr>
    </w:p>
    <w:p w14:paraId="74DADD87" w14:textId="77777777" w:rsidR="008C7109" w:rsidRDefault="00DB2126" w:rsidP="008C7109">
      <w:pPr>
        <w:rPr>
          <w:szCs w:val="22"/>
        </w:rPr>
      </w:pPr>
      <w:r w:rsidRPr="008C7109">
        <w:rPr>
          <w:szCs w:val="22"/>
          <w:u w:val="single"/>
        </w:rPr>
        <w:t>Inspection of Linear Delineator Panels</w:t>
      </w:r>
      <w:r w:rsidR="008C7109">
        <w:rPr>
          <w:szCs w:val="22"/>
        </w:rPr>
        <w:t xml:space="preserve">.  </w:t>
      </w:r>
      <w:r w:rsidRPr="008C7109">
        <w:rPr>
          <w:szCs w:val="22"/>
        </w:rPr>
        <w:t>The linear delineator panels installed under this contract will be inspected following installation, but no later than December 30th.  In addition, they will be inspected following a winter performance period that extends 180 days from December 30th.</w:t>
      </w:r>
    </w:p>
    <w:p w14:paraId="1CA639BD" w14:textId="77777777" w:rsidR="008C7109" w:rsidRDefault="008C7109" w:rsidP="008C7109">
      <w:pPr>
        <w:rPr>
          <w:szCs w:val="22"/>
        </w:rPr>
      </w:pPr>
    </w:p>
    <w:p w14:paraId="46D7225F" w14:textId="0B718273" w:rsidR="00DB2126" w:rsidRPr="008C7109" w:rsidRDefault="00DB2126" w:rsidP="008C7109">
      <w:pPr>
        <w:rPr>
          <w:szCs w:val="22"/>
        </w:rPr>
      </w:pPr>
      <w:r w:rsidRPr="008C7109">
        <w:rPr>
          <w:szCs w:val="22"/>
        </w:rPr>
        <w:t>Within 15 calendar days after the end of the winter performance period, a final performance inspection will be made.  If this inspection discloses any work which is not visibly intact and serviceable, the Contractor shall, within 30 calendar days, completely repair or replace such work to the satisfaction of the Engineer.</w:t>
      </w:r>
    </w:p>
    <w:p w14:paraId="464E7EBD" w14:textId="77777777" w:rsidR="00DB2126" w:rsidRPr="008C7109" w:rsidRDefault="00DB2126" w:rsidP="008C7109">
      <w:pPr>
        <w:rPr>
          <w:szCs w:val="22"/>
        </w:rPr>
      </w:pPr>
    </w:p>
    <w:p w14:paraId="4C60E589" w14:textId="77777777" w:rsidR="00DB2126" w:rsidRPr="008C7109" w:rsidRDefault="00DB2126" w:rsidP="008C7109">
      <w:pPr>
        <w:rPr>
          <w:szCs w:val="22"/>
        </w:rPr>
      </w:pPr>
      <w:r w:rsidRPr="008C7109">
        <w:rPr>
          <w:szCs w:val="22"/>
        </w:rPr>
        <w:t>Measured in its entirety, the work shall be 97 percent intact.</w:t>
      </w:r>
    </w:p>
    <w:p w14:paraId="3C52A08C" w14:textId="77777777" w:rsidR="00DB2126" w:rsidRPr="008C7109" w:rsidRDefault="00DB2126" w:rsidP="008C7109">
      <w:pPr>
        <w:rPr>
          <w:szCs w:val="22"/>
        </w:rPr>
      </w:pPr>
    </w:p>
    <w:p w14:paraId="48E5E44A" w14:textId="77777777" w:rsidR="00DB2126" w:rsidRPr="008C7109" w:rsidRDefault="00DB2126" w:rsidP="008C7109">
      <w:pPr>
        <w:rPr>
          <w:szCs w:val="22"/>
        </w:rPr>
      </w:pPr>
      <w:r w:rsidRPr="008C7109">
        <w:rPr>
          <w:szCs w:val="22"/>
        </w:rPr>
        <w:t>Upon completion of the final performance inspection, or after satisfactory completion of any necessary corrections, the Engineer shall notify the Contractor in writing of the date of such final performance inspection and release him/her from further performance responsibility.</w:t>
      </w:r>
    </w:p>
    <w:p w14:paraId="3673C506" w14:textId="77777777" w:rsidR="00DB2126" w:rsidRPr="008C7109" w:rsidRDefault="00DB2126" w:rsidP="008C7109">
      <w:pPr>
        <w:rPr>
          <w:szCs w:val="22"/>
        </w:rPr>
      </w:pPr>
    </w:p>
    <w:p w14:paraId="125A3E5D" w14:textId="77777777" w:rsidR="00DB2126" w:rsidRPr="008C7109" w:rsidRDefault="00DB2126" w:rsidP="008C7109">
      <w:pPr>
        <w:rPr>
          <w:szCs w:val="22"/>
        </w:rPr>
      </w:pPr>
      <w:r w:rsidRPr="008C7109">
        <w:rPr>
          <w:szCs w:val="22"/>
        </w:rPr>
        <w:t xml:space="preserve">This delay in performance inspection and performance acceptance of the linear delineator panels shall not delay acceptance of the entire project and final payment due if the contractor requires and receives from the subcontractor a third party “performance” bond naming the Department as obligee in the full amount of all linear delineator panels listed in the contract, multiplied by the contract unit price.  The bond shall be executed prior to acceptance and final payment of the non-linear delineator panel items and shall be in full force and effect until final performance inspection and performance acceptance of the linear delineator panels.  Execution of the </w:t>
      </w:r>
      <w:proofErr w:type="gramStart"/>
      <w:r w:rsidRPr="008C7109">
        <w:rPr>
          <w:szCs w:val="22"/>
        </w:rPr>
        <w:t>third party</w:t>
      </w:r>
      <w:proofErr w:type="gramEnd"/>
      <w:r w:rsidRPr="008C7109">
        <w:rPr>
          <w:szCs w:val="22"/>
        </w:rPr>
        <w:t xml:space="preserve"> bond shall be the option of the Contractor.</w:t>
      </w:r>
    </w:p>
    <w:p w14:paraId="2B173EB1" w14:textId="77777777" w:rsidR="00DB2126" w:rsidRPr="008C7109" w:rsidRDefault="00DB2126" w:rsidP="008C7109">
      <w:pPr>
        <w:rPr>
          <w:szCs w:val="22"/>
          <w:u w:val="single"/>
        </w:rPr>
      </w:pPr>
    </w:p>
    <w:p w14:paraId="1B57FBE7" w14:textId="51794DAE" w:rsidR="00DB2126" w:rsidRPr="008C7109" w:rsidRDefault="00DB2126" w:rsidP="008C7109">
      <w:pPr>
        <w:rPr>
          <w:szCs w:val="22"/>
        </w:rPr>
      </w:pPr>
      <w:r w:rsidRPr="00E62E9B">
        <w:rPr>
          <w:b/>
          <w:bCs/>
          <w:szCs w:val="22"/>
        </w:rPr>
        <w:t>Basis of Payment</w:t>
      </w:r>
      <w:r w:rsidR="008C7109">
        <w:rPr>
          <w:szCs w:val="22"/>
        </w:rPr>
        <w:t xml:space="preserve">.  </w:t>
      </w:r>
      <w:r w:rsidRPr="008C7109">
        <w:rPr>
          <w:szCs w:val="22"/>
        </w:rPr>
        <w:t>This work will be paid for at the contract unit price per each for LINEAR DELINEATOR PANELS, 6 INCH.</w:t>
      </w:r>
    </w:p>
    <w:p w14:paraId="19678EEF" w14:textId="77777777" w:rsidR="00DB2126" w:rsidRPr="008C7109" w:rsidRDefault="00DB2126" w:rsidP="008C7109">
      <w:pPr>
        <w:rPr>
          <w:szCs w:val="22"/>
        </w:rPr>
      </w:pPr>
    </w:p>
    <w:p w14:paraId="34E31B46" w14:textId="77777777" w:rsidR="00DB2126" w:rsidRPr="008C7109" w:rsidRDefault="00DB2126" w:rsidP="008C7109">
      <w:pPr>
        <w:rPr>
          <w:szCs w:val="22"/>
        </w:rPr>
      </w:pPr>
    </w:p>
    <w:sectPr w:rsidR="00DB2126" w:rsidRPr="008C7109" w:rsidSect="008C7109">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4013" w14:textId="77777777" w:rsidR="004D10EE" w:rsidRDefault="004D10EE" w:rsidP="00041FAA">
      <w:r>
        <w:separator/>
      </w:r>
    </w:p>
  </w:endnote>
  <w:endnote w:type="continuationSeparator" w:id="0">
    <w:p w14:paraId="10FAE0BA" w14:textId="77777777" w:rsidR="004D10EE" w:rsidRDefault="004D10EE" w:rsidP="0004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2BF8" w14:textId="77777777" w:rsidR="004D10EE" w:rsidRDefault="004D10EE" w:rsidP="00041FAA">
      <w:r>
        <w:separator/>
      </w:r>
    </w:p>
  </w:footnote>
  <w:footnote w:type="continuationSeparator" w:id="0">
    <w:p w14:paraId="3F7FF9BE" w14:textId="77777777" w:rsidR="004D10EE" w:rsidRDefault="004D10EE" w:rsidP="0004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4675" w14:textId="77777777" w:rsidR="00F8373F" w:rsidRDefault="00F83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61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3392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E507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707220"/>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9447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5B0E64"/>
    <w:multiLevelType w:val="singleLevel"/>
    <w:tmpl w:val="04090015"/>
    <w:lvl w:ilvl="0">
      <w:start w:val="4"/>
      <w:numFmt w:val="upperLetter"/>
      <w:lvlText w:val="%1."/>
      <w:lvlJc w:val="left"/>
      <w:pPr>
        <w:tabs>
          <w:tab w:val="num" w:pos="360"/>
        </w:tabs>
        <w:ind w:left="360" w:hanging="360"/>
      </w:pPr>
      <w:rPr>
        <w:rFonts w:hint="default"/>
      </w:rPr>
    </w:lvl>
  </w:abstractNum>
  <w:abstractNum w:abstractNumId="7" w15:restartNumberingAfterBreak="0">
    <w:nsid w:val="116E57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7E7C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005BCB"/>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C5F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8379B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5F2C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7C4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5721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FF171F"/>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20796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417994"/>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D56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3925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8F69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473D81"/>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23D181F"/>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366919EB"/>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DB45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9F539CB"/>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A1041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A5D41AD"/>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5A2805"/>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32C2BD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501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47E5FDA"/>
    <w:multiLevelType w:val="hybridMultilevel"/>
    <w:tmpl w:val="3D4C199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4BB7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79307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BE838F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D003481"/>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DAD3B6B"/>
    <w:multiLevelType w:val="hybridMultilevel"/>
    <w:tmpl w:val="4CEED0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B73032"/>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FCB65A7"/>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1085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59F7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5FB3C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7CA3AF7"/>
    <w:multiLevelType w:val="hybridMultilevel"/>
    <w:tmpl w:val="A0D8FC9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87D7B43"/>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A0A0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A542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ABB7F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DC517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2EC49ED"/>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54F62C9"/>
    <w:multiLevelType w:val="hybridMultilevel"/>
    <w:tmpl w:val="A3509B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74F0FC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26147B0"/>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A83CFC"/>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5EA70BA"/>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6846EB6"/>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ACA6092"/>
    <w:multiLevelType w:val="hybridMultilevel"/>
    <w:tmpl w:val="2BF01192"/>
    <w:lvl w:ilvl="0" w:tplc="720CACB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356648"/>
    <w:multiLevelType w:val="singleLevel"/>
    <w:tmpl w:val="5660FE8C"/>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DAB4DB5"/>
    <w:multiLevelType w:val="singleLevel"/>
    <w:tmpl w:val="5660FE8C"/>
    <w:lvl w:ilvl="0">
      <w:start w:val="1"/>
      <w:numFmt w:val="bullet"/>
      <w:lvlText w:val=""/>
      <w:lvlJc w:val="left"/>
      <w:pPr>
        <w:tabs>
          <w:tab w:val="num" w:pos="360"/>
        </w:tabs>
        <w:ind w:left="360" w:hanging="360"/>
      </w:pPr>
      <w:rPr>
        <w:rFonts w:ascii="Symbol" w:hAnsi="Symbol" w:hint="default"/>
      </w:rPr>
    </w:lvl>
  </w:abstractNum>
  <w:num w:numId="1" w16cid:durableId="1578055418">
    <w:abstractNumId w:val="51"/>
  </w:num>
  <w:num w:numId="2" w16cid:durableId="1244991638">
    <w:abstractNumId w:val="57"/>
  </w:num>
  <w:num w:numId="3" w16cid:durableId="739057926">
    <w:abstractNumId w:val="35"/>
  </w:num>
  <w:num w:numId="4" w16cid:durableId="242691097">
    <w:abstractNumId w:val="25"/>
  </w:num>
  <w:num w:numId="5" w16cid:durableId="420300714">
    <w:abstractNumId w:val="53"/>
  </w:num>
  <w:num w:numId="6" w16cid:durableId="898978872">
    <w:abstractNumId w:val="37"/>
  </w:num>
  <w:num w:numId="7" w16cid:durableId="2016884122">
    <w:abstractNumId w:val="17"/>
  </w:num>
  <w:num w:numId="8" w16cid:durableId="772436487">
    <w:abstractNumId w:val="11"/>
  </w:num>
  <w:num w:numId="9" w16cid:durableId="1536381756">
    <w:abstractNumId w:val="50"/>
  </w:num>
  <w:num w:numId="10" w16cid:durableId="972832974">
    <w:abstractNumId w:val="21"/>
  </w:num>
  <w:num w:numId="11" w16cid:durableId="1235897771">
    <w:abstractNumId w:val="23"/>
  </w:num>
  <w:num w:numId="12" w16cid:durableId="1354459269">
    <w:abstractNumId w:val="2"/>
  </w:num>
  <w:num w:numId="13" w16cid:durableId="1769079470">
    <w:abstractNumId w:val="54"/>
  </w:num>
  <w:num w:numId="14" w16cid:durableId="193269420">
    <w:abstractNumId w:val="56"/>
  </w:num>
  <w:num w:numId="15" w16cid:durableId="382221478">
    <w:abstractNumId w:val="9"/>
  </w:num>
  <w:num w:numId="16" w16cid:durableId="136071599">
    <w:abstractNumId w:val="28"/>
  </w:num>
  <w:num w:numId="17" w16cid:durableId="1198011016">
    <w:abstractNumId w:val="52"/>
  </w:num>
  <w:num w:numId="18" w16cid:durableId="1646008886">
    <w:abstractNumId w:val="38"/>
  </w:num>
  <w:num w:numId="19" w16cid:durableId="578903033">
    <w:abstractNumId w:val="27"/>
  </w:num>
  <w:num w:numId="20" w16cid:durableId="482739049">
    <w:abstractNumId w:val="4"/>
  </w:num>
  <w:num w:numId="21" w16cid:durableId="1910118231">
    <w:abstractNumId w:val="3"/>
  </w:num>
  <w:num w:numId="22" w16cid:durableId="1665821309">
    <w:abstractNumId w:val="43"/>
  </w:num>
  <w:num w:numId="23" w16cid:durableId="1226721855">
    <w:abstractNumId w:val="48"/>
  </w:num>
  <w:num w:numId="24" w16cid:durableId="637496460">
    <w:abstractNumId w:val="13"/>
  </w:num>
  <w:num w:numId="25" w16cid:durableId="1880313544">
    <w:abstractNumId w:val="14"/>
  </w:num>
  <w:num w:numId="26" w16cid:durableId="1523007899">
    <w:abstractNumId w:val="1"/>
  </w:num>
  <w:num w:numId="27" w16cid:durableId="1947690587">
    <w:abstractNumId w:val="26"/>
  </w:num>
  <w:num w:numId="28" w16cid:durableId="488254453">
    <w:abstractNumId w:val="22"/>
  </w:num>
  <w:num w:numId="29" w16cid:durableId="151678816">
    <w:abstractNumId w:val="7"/>
  </w:num>
  <w:num w:numId="30" w16cid:durableId="1075476828">
    <w:abstractNumId w:val="0"/>
  </w:num>
  <w:num w:numId="31" w16cid:durableId="988827509">
    <w:abstractNumId w:val="16"/>
  </w:num>
  <w:num w:numId="32" w16cid:durableId="1009913676">
    <w:abstractNumId w:val="45"/>
  </w:num>
  <w:num w:numId="33" w16cid:durableId="1062560675">
    <w:abstractNumId w:val="44"/>
  </w:num>
  <w:num w:numId="34" w16cid:durableId="1197280747">
    <w:abstractNumId w:val="30"/>
  </w:num>
  <w:num w:numId="35" w16cid:durableId="231044858">
    <w:abstractNumId w:val="41"/>
  </w:num>
  <w:num w:numId="36" w16cid:durableId="860509132">
    <w:abstractNumId w:val="39"/>
  </w:num>
  <w:num w:numId="37" w16cid:durableId="1911311431">
    <w:abstractNumId w:val="32"/>
  </w:num>
  <w:num w:numId="38" w16cid:durableId="1383560873">
    <w:abstractNumId w:val="47"/>
  </w:num>
  <w:num w:numId="39" w16cid:durableId="1722359401">
    <w:abstractNumId w:val="33"/>
  </w:num>
  <w:num w:numId="40" w16cid:durableId="753206686">
    <w:abstractNumId w:val="5"/>
  </w:num>
  <w:num w:numId="41" w16cid:durableId="1657997692">
    <w:abstractNumId w:val="19"/>
  </w:num>
  <w:num w:numId="42" w16cid:durableId="906770301">
    <w:abstractNumId w:val="46"/>
  </w:num>
  <w:num w:numId="43" w16cid:durableId="1657881580">
    <w:abstractNumId w:val="10"/>
  </w:num>
  <w:num w:numId="44" w16cid:durableId="1149594138">
    <w:abstractNumId w:val="40"/>
  </w:num>
  <w:num w:numId="45" w16cid:durableId="1701390413">
    <w:abstractNumId w:val="24"/>
  </w:num>
  <w:num w:numId="46" w16cid:durableId="324088452">
    <w:abstractNumId w:val="18"/>
  </w:num>
  <w:num w:numId="47" w16cid:durableId="1281449270">
    <w:abstractNumId w:val="31"/>
  </w:num>
  <w:num w:numId="48" w16cid:durableId="1024939783">
    <w:abstractNumId w:val="42"/>
  </w:num>
  <w:num w:numId="49" w16cid:durableId="396127690">
    <w:abstractNumId w:val="49"/>
  </w:num>
  <w:num w:numId="50" w16cid:durableId="90394504">
    <w:abstractNumId w:val="12"/>
  </w:num>
  <w:num w:numId="51" w16cid:durableId="1610307960">
    <w:abstractNumId w:val="20"/>
  </w:num>
  <w:num w:numId="52" w16cid:durableId="1616980119">
    <w:abstractNumId w:val="34"/>
  </w:num>
  <w:num w:numId="53" w16cid:durableId="1222407061">
    <w:abstractNumId w:val="29"/>
  </w:num>
  <w:num w:numId="54" w16cid:durableId="171840792">
    <w:abstractNumId w:val="8"/>
  </w:num>
  <w:num w:numId="55" w16cid:durableId="2070306411">
    <w:abstractNumId w:val="6"/>
  </w:num>
  <w:num w:numId="56" w16cid:durableId="1969044646">
    <w:abstractNumId w:val="15"/>
  </w:num>
  <w:num w:numId="57" w16cid:durableId="1282374152">
    <w:abstractNumId w:val="36"/>
  </w:num>
  <w:num w:numId="58" w16cid:durableId="431902589">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ank" w:val="no"/>
    <w:docVar w:name="ExistingDoc" w:val="yes"/>
    <w:docVar w:name="Header" w:val="yes"/>
  </w:docVars>
  <w:rsids>
    <w:rsidRoot w:val="00385D9F"/>
    <w:rsid w:val="00041FAA"/>
    <w:rsid w:val="000A15B2"/>
    <w:rsid w:val="000B0695"/>
    <w:rsid w:val="000B29F7"/>
    <w:rsid w:val="000C395D"/>
    <w:rsid w:val="000D196E"/>
    <w:rsid w:val="000D592C"/>
    <w:rsid w:val="000E6D7B"/>
    <w:rsid w:val="00102D6A"/>
    <w:rsid w:val="00104DE5"/>
    <w:rsid w:val="0010600C"/>
    <w:rsid w:val="00157166"/>
    <w:rsid w:val="00160ECD"/>
    <w:rsid w:val="00172602"/>
    <w:rsid w:val="00172A6C"/>
    <w:rsid w:val="001837A2"/>
    <w:rsid w:val="00184F94"/>
    <w:rsid w:val="00185DB7"/>
    <w:rsid w:val="001A13EE"/>
    <w:rsid w:val="001A6428"/>
    <w:rsid w:val="001C2604"/>
    <w:rsid w:val="001F2E28"/>
    <w:rsid w:val="00204E24"/>
    <w:rsid w:val="0025458B"/>
    <w:rsid w:val="00280EC0"/>
    <w:rsid w:val="002A16D8"/>
    <w:rsid w:val="002A3C01"/>
    <w:rsid w:val="002C6C1A"/>
    <w:rsid w:val="00385D9F"/>
    <w:rsid w:val="003E0A9D"/>
    <w:rsid w:val="003F2257"/>
    <w:rsid w:val="004010DD"/>
    <w:rsid w:val="00412C61"/>
    <w:rsid w:val="004310BD"/>
    <w:rsid w:val="00451562"/>
    <w:rsid w:val="004725BC"/>
    <w:rsid w:val="00495A20"/>
    <w:rsid w:val="004A0748"/>
    <w:rsid w:val="004A7CF5"/>
    <w:rsid w:val="004C72A0"/>
    <w:rsid w:val="004D10EE"/>
    <w:rsid w:val="004D5953"/>
    <w:rsid w:val="004F03AE"/>
    <w:rsid w:val="00526B7B"/>
    <w:rsid w:val="00541D19"/>
    <w:rsid w:val="00545ACB"/>
    <w:rsid w:val="00550EB8"/>
    <w:rsid w:val="00560CDE"/>
    <w:rsid w:val="00560D7C"/>
    <w:rsid w:val="005F36E0"/>
    <w:rsid w:val="00622752"/>
    <w:rsid w:val="00624DC4"/>
    <w:rsid w:val="0063189E"/>
    <w:rsid w:val="00670A0C"/>
    <w:rsid w:val="006B344E"/>
    <w:rsid w:val="006D33D5"/>
    <w:rsid w:val="006E2369"/>
    <w:rsid w:val="00740CC3"/>
    <w:rsid w:val="00773363"/>
    <w:rsid w:val="0078316F"/>
    <w:rsid w:val="00783DF8"/>
    <w:rsid w:val="007A3107"/>
    <w:rsid w:val="007D2469"/>
    <w:rsid w:val="007F19C1"/>
    <w:rsid w:val="00806DDE"/>
    <w:rsid w:val="008172B3"/>
    <w:rsid w:val="008322A8"/>
    <w:rsid w:val="00864D77"/>
    <w:rsid w:val="00865C73"/>
    <w:rsid w:val="00896C43"/>
    <w:rsid w:val="008C7109"/>
    <w:rsid w:val="008D4147"/>
    <w:rsid w:val="009016FC"/>
    <w:rsid w:val="00912DDC"/>
    <w:rsid w:val="0094013A"/>
    <w:rsid w:val="00971FDB"/>
    <w:rsid w:val="009B18B7"/>
    <w:rsid w:val="009C2C5E"/>
    <w:rsid w:val="009E2A46"/>
    <w:rsid w:val="009F7C73"/>
    <w:rsid w:val="00A01612"/>
    <w:rsid w:val="00A12B9B"/>
    <w:rsid w:val="00A1652A"/>
    <w:rsid w:val="00AB0FFA"/>
    <w:rsid w:val="00AC6ED0"/>
    <w:rsid w:val="00AD67E6"/>
    <w:rsid w:val="00AE45AB"/>
    <w:rsid w:val="00B00DF9"/>
    <w:rsid w:val="00B12A98"/>
    <w:rsid w:val="00B224D1"/>
    <w:rsid w:val="00B276B0"/>
    <w:rsid w:val="00B530DB"/>
    <w:rsid w:val="00B70D54"/>
    <w:rsid w:val="00B73F91"/>
    <w:rsid w:val="00B9266E"/>
    <w:rsid w:val="00B934D9"/>
    <w:rsid w:val="00C170FF"/>
    <w:rsid w:val="00C71370"/>
    <w:rsid w:val="00C87DA8"/>
    <w:rsid w:val="00CB1CE6"/>
    <w:rsid w:val="00D0300A"/>
    <w:rsid w:val="00D24436"/>
    <w:rsid w:val="00D3752C"/>
    <w:rsid w:val="00D46F43"/>
    <w:rsid w:val="00D4701E"/>
    <w:rsid w:val="00D806AB"/>
    <w:rsid w:val="00D92120"/>
    <w:rsid w:val="00DA4F6D"/>
    <w:rsid w:val="00DB2126"/>
    <w:rsid w:val="00DC10B1"/>
    <w:rsid w:val="00DC190F"/>
    <w:rsid w:val="00DC7356"/>
    <w:rsid w:val="00DD30B5"/>
    <w:rsid w:val="00DE505F"/>
    <w:rsid w:val="00DE6C9C"/>
    <w:rsid w:val="00E039D7"/>
    <w:rsid w:val="00E1029D"/>
    <w:rsid w:val="00E15AEA"/>
    <w:rsid w:val="00E34BA6"/>
    <w:rsid w:val="00E4228D"/>
    <w:rsid w:val="00E521A4"/>
    <w:rsid w:val="00E62E9B"/>
    <w:rsid w:val="00E72A9E"/>
    <w:rsid w:val="00E87DB9"/>
    <w:rsid w:val="00E908FD"/>
    <w:rsid w:val="00EA3E92"/>
    <w:rsid w:val="00EB32C0"/>
    <w:rsid w:val="00ED6546"/>
    <w:rsid w:val="00EE7AD8"/>
    <w:rsid w:val="00F160F6"/>
    <w:rsid w:val="00F36F7E"/>
    <w:rsid w:val="00F42B9F"/>
    <w:rsid w:val="00F8373F"/>
    <w:rsid w:val="00F86F81"/>
    <w:rsid w:val="00FA74A6"/>
    <w:rsid w:val="00FA796C"/>
    <w:rsid w:val="00FB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2BE726"/>
  <w15:docId w15:val="{F4070471-1397-4E4B-B213-0877126A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0B1"/>
    <w:pPr>
      <w:jc w:val="both"/>
    </w:pPr>
    <w:rPr>
      <w:rFonts w:ascii="Arial" w:hAnsi="Arial" w:cs="Arial"/>
      <w:sz w:val="22"/>
    </w:rPr>
  </w:style>
  <w:style w:type="paragraph" w:styleId="Heading1">
    <w:name w:val="heading 1"/>
    <w:basedOn w:val="Normal"/>
    <w:next w:val="Normal"/>
    <w:link w:val="Heading1Char"/>
    <w:qFormat/>
    <w:rsid w:val="00DC10B1"/>
    <w:pPr>
      <w:keepNext/>
      <w:outlineLvl w:val="0"/>
    </w:pPr>
    <w:rPr>
      <w:b/>
      <w:caps/>
      <w:kern w:val="28"/>
    </w:rPr>
  </w:style>
  <w:style w:type="paragraph" w:styleId="Heading2">
    <w:name w:val="heading 2"/>
    <w:basedOn w:val="Normal"/>
    <w:next w:val="Normal"/>
    <w:link w:val="Heading2Char"/>
    <w:qFormat/>
    <w:rsid w:val="00DC10B1"/>
    <w:pPr>
      <w:keepNext/>
      <w:spacing w:before="240" w:after="60"/>
      <w:outlineLvl w:val="1"/>
    </w:pPr>
    <w:rPr>
      <w:b/>
      <w:caps/>
    </w:rPr>
  </w:style>
  <w:style w:type="paragraph" w:styleId="Heading3">
    <w:name w:val="heading 3"/>
    <w:basedOn w:val="Normal"/>
    <w:next w:val="Normal"/>
    <w:qFormat/>
    <w:rsid w:val="00DC10B1"/>
    <w:pPr>
      <w:keepNext/>
      <w:outlineLvl w:val="2"/>
    </w:pPr>
    <w:rPr>
      <w:sz w:val="40"/>
    </w:rPr>
  </w:style>
  <w:style w:type="paragraph" w:styleId="Heading4">
    <w:name w:val="heading 4"/>
    <w:basedOn w:val="Normal"/>
    <w:next w:val="Normal"/>
    <w:link w:val="Heading4Char"/>
    <w:semiHidden/>
    <w:unhideWhenUsed/>
    <w:qFormat/>
    <w:rsid w:val="00F36F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C10B1"/>
    <w:pPr>
      <w:framePr w:w="7920" w:h="1980" w:hRule="exact" w:hSpace="180" w:wrap="auto" w:hAnchor="page" w:xAlign="center" w:yAlign="bottom"/>
      <w:ind w:left="2880"/>
    </w:pPr>
  </w:style>
  <w:style w:type="paragraph" w:styleId="EnvelopeReturn">
    <w:name w:val="envelope return"/>
    <w:basedOn w:val="Normal"/>
    <w:rsid w:val="00DC10B1"/>
  </w:style>
  <w:style w:type="paragraph" w:styleId="Footer">
    <w:name w:val="footer"/>
    <w:basedOn w:val="Normal"/>
    <w:link w:val="FooterChar"/>
    <w:rsid w:val="00DC10B1"/>
    <w:pPr>
      <w:tabs>
        <w:tab w:val="center" w:pos="4320"/>
        <w:tab w:val="right" w:pos="8640"/>
      </w:tabs>
    </w:pPr>
  </w:style>
  <w:style w:type="paragraph" w:styleId="Header">
    <w:name w:val="header"/>
    <w:basedOn w:val="Normal"/>
    <w:link w:val="HeaderChar"/>
    <w:uiPriority w:val="99"/>
    <w:rsid w:val="00DC10B1"/>
    <w:pPr>
      <w:tabs>
        <w:tab w:val="center" w:pos="4320"/>
        <w:tab w:val="right" w:pos="8640"/>
      </w:tabs>
    </w:pPr>
  </w:style>
  <w:style w:type="paragraph" w:styleId="BodyText">
    <w:name w:val="Body Text"/>
    <w:basedOn w:val="Normal"/>
    <w:link w:val="BodyTextChar"/>
    <w:rsid w:val="00DC10B1"/>
  </w:style>
  <w:style w:type="character" w:styleId="Hyperlink">
    <w:name w:val="Hyperlink"/>
    <w:basedOn w:val="DefaultParagraphFont"/>
    <w:rsid w:val="00DC10B1"/>
    <w:rPr>
      <w:color w:val="0000FF"/>
      <w:u w:val="single"/>
    </w:rPr>
  </w:style>
  <w:style w:type="character" w:styleId="LineNumber">
    <w:name w:val="line number"/>
    <w:basedOn w:val="DefaultParagraphFont"/>
    <w:rsid w:val="00DC10B1"/>
  </w:style>
  <w:style w:type="character" w:styleId="PageNumber">
    <w:name w:val="page number"/>
    <w:basedOn w:val="DefaultParagraphFont"/>
    <w:rsid w:val="00DC10B1"/>
  </w:style>
  <w:style w:type="table" w:styleId="TableGrid">
    <w:name w:val="Table Grid"/>
    <w:basedOn w:val="TableNormal"/>
    <w:rsid w:val="00DC10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C10B1"/>
    <w:pPr>
      <w:spacing w:line="360" w:lineRule="auto"/>
    </w:pPr>
    <w:rPr>
      <w:caps/>
      <w:sz w:val="20"/>
    </w:rPr>
  </w:style>
  <w:style w:type="paragraph" w:styleId="TOC2">
    <w:name w:val="toc 2"/>
    <w:basedOn w:val="Normal"/>
    <w:next w:val="Normal"/>
    <w:autoRedefine/>
    <w:uiPriority w:val="39"/>
    <w:rsid w:val="00DC10B1"/>
    <w:pPr>
      <w:spacing w:line="360" w:lineRule="auto"/>
    </w:pPr>
    <w:rPr>
      <w:caps/>
    </w:rPr>
  </w:style>
  <w:style w:type="paragraph" w:styleId="TOC3">
    <w:name w:val="toc 3"/>
    <w:basedOn w:val="Normal"/>
    <w:next w:val="Normal"/>
    <w:autoRedefine/>
    <w:semiHidden/>
    <w:rsid w:val="00DC10B1"/>
    <w:pPr>
      <w:spacing w:line="360" w:lineRule="auto"/>
    </w:pPr>
    <w:rPr>
      <w:caps/>
    </w:rPr>
  </w:style>
  <w:style w:type="paragraph" w:styleId="TOC4">
    <w:name w:val="toc 4"/>
    <w:basedOn w:val="Normal"/>
    <w:next w:val="Normal"/>
    <w:autoRedefine/>
    <w:semiHidden/>
    <w:rsid w:val="00DC10B1"/>
    <w:pPr>
      <w:ind w:left="600"/>
    </w:pPr>
  </w:style>
  <w:style w:type="paragraph" w:styleId="TOC5">
    <w:name w:val="toc 5"/>
    <w:basedOn w:val="Normal"/>
    <w:next w:val="Normal"/>
    <w:autoRedefine/>
    <w:semiHidden/>
    <w:rsid w:val="00DC10B1"/>
    <w:pPr>
      <w:ind w:left="800"/>
    </w:pPr>
  </w:style>
  <w:style w:type="paragraph" w:styleId="TOC6">
    <w:name w:val="toc 6"/>
    <w:basedOn w:val="Normal"/>
    <w:next w:val="Normal"/>
    <w:autoRedefine/>
    <w:semiHidden/>
    <w:rsid w:val="00DC10B1"/>
    <w:pPr>
      <w:ind w:left="1000"/>
    </w:pPr>
  </w:style>
  <w:style w:type="paragraph" w:styleId="TOC7">
    <w:name w:val="toc 7"/>
    <w:basedOn w:val="Normal"/>
    <w:next w:val="Normal"/>
    <w:autoRedefine/>
    <w:semiHidden/>
    <w:rsid w:val="00DC10B1"/>
    <w:pPr>
      <w:ind w:left="1200"/>
    </w:pPr>
  </w:style>
  <w:style w:type="paragraph" w:styleId="TOC8">
    <w:name w:val="toc 8"/>
    <w:basedOn w:val="Normal"/>
    <w:next w:val="Normal"/>
    <w:autoRedefine/>
    <w:semiHidden/>
    <w:rsid w:val="00DC10B1"/>
    <w:pPr>
      <w:ind w:left="1400"/>
    </w:pPr>
  </w:style>
  <w:style w:type="paragraph" w:styleId="TOC9">
    <w:name w:val="toc 9"/>
    <w:basedOn w:val="Normal"/>
    <w:next w:val="Normal"/>
    <w:autoRedefine/>
    <w:semiHidden/>
    <w:rsid w:val="00DC10B1"/>
    <w:pPr>
      <w:ind w:left="1600"/>
    </w:pPr>
  </w:style>
  <w:style w:type="paragraph" w:customStyle="1" w:styleId="TOCStyle">
    <w:name w:val="TOCStyle"/>
    <w:basedOn w:val="Normal"/>
    <w:autoRedefine/>
    <w:rsid w:val="00DC10B1"/>
    <w:pPr>
      <w:spacing w:line="360" w:lineRule="auto"/>
    </w:pPr>
    <w:rPr>
      <w:caps/>
      <w:noProof/>
    </w:rPr>
  </w:style>
  <w:style w:type="character" w:customStyle="1" w:styleId="Heading1Char">
    <w:name w:val="Heading 1 Char"/>
    <w:basedOn w:val="DefaultParagraphFont"/>
    <w:link w:val="Heading1"/>
    <w:rsid w:val="00385D9F"/>
    <w:rPr>
      <w:rFonts w:ascii="Arial" w:hAnsi="Arial" w:cs="Arial"/>
      <w:b/>
      <w:caps/>
      <w:kern w:val="28"/>
      <w:sz w:val="22"/>
    </w:rPr>
  </w:style>
  <w:style w:type="character" w:customStyle="1" w:styleId="BodyTextChar">
    <w:name w:val="Body Text Char"/>
    <w:basedOn w:val="DefaultParagraphFont"/>
    <w:link w:val="BodyText"/>
    <w:rsid w:val="00385D9F"/>
    <w:rPr>
      <w:rFonts w:ascii="Arial" w:hAnsi="Arial" w:cs="Arial"/>
      <w:sz w:val="22"/>
    </w:rPr>
  </w:style>
  <w:style w:type="character" w:customStyle="1" w:styleId="Heading4Char">
    <w:name w:val="Heading 4 Char"/>
    <w:basedOn w:val="DefaultParagraphFont"/>
    <w:link w:val="Heading4"/>
    <w:semiHidden/>
    <w:rsid w:val="00F36F7E"/>
    <w:rPr>
      <w:rFonts w:asciiTheme="majorHAnsi" w:eastAsiaTheme="majorEastAsia" w:hAnsiTheme="majorHAnsi" w:cstheme="majorBidi"/>
      <w:b/>
      <w:bCs/>
      <w:i/>
      <w:iCs/>
      <w:color w:val="4F81BD" w:themeColor="accent1"/>
      <w:sz w:val="22"/>
    </w:rPr>
  </w:style>
  <w:style w:type="paragraph" w:styleId="BodyTextIndent">
    <w:name w:val="Body Text Indent"/>
    <w:basedOn w:val="Normal"/>
    <w:link w:val="BodyTextIndentChar"/>
    <w:rsid w:val="00F36F7E"/>
    <w:pPr>
      <w:spacing w:after="120"/>
      <w:ind w:left="360"/>
    </w:pPr>
  </w:style>
  <w:style w:type="character" w:customStyle="1" w:styleId="BodyTextIndentChar">
    <w:name w:val="Body Text Indent Char"/>
    <w:basedOn w:val="DefaultParagraphFont"/>
    <w:link w:val="BodyTextIndent"/>
    <w:rsid w:val="00F36F7E"/>
    <w:rPr>
      <w:rFonts w:ascii="Arial" w:hAnsi="Arial" w:cs="Arial"/>
      <w:sz w:val="22"/>
    </w:rPr>
  </w:style>
  <w:style w:type="paragraph" w:styleId="BodyTextIndent3">
    <w:name w:val="Body Text Indent 3"/>
    <w:basedOn w:val="Normal"/>
    <w:link w:val="BodyTextIndent3Char"/>
    <w:rsid w:val="00F36F7E"/>
    <w:pPr>
      <w:spacing w:after="120"/>
      <w:ind w:left="360"/>
    </w:pPr>
    <w:rPr>
      <w:sz w:val="16"/>
      <w:szCs w:val="16"/>
    </w:rPr>
  </w:style>
  <w:style w:type="character" w:customStyle="1" w:styleId="BodyTextIndent3Char">
    <w:name w:val="Body Text Indent 3 Char"/>
    <w:basedOn w:val="DefaultParagraphFont"/>
    <w:link w:val="BodyTextIndent3"/>
    <w:rsid w:val="00F36F7E"/>
    <w:rPr>
      <w:rFonts w:ascii="Arial" w:hAnsi="Arial" w:cs="Arial"/>
      <w:sz w:val="16"/>
      <w:szCs w:val="16"/>
    </w:rPr>
  </w:style>
  <w:style w:type="character" w:customStyle="1" w:styleId="HeaderChar">
    <w:name w:val="Header Char"/>
    <w:link w:val="Header"/>
    <w:uiPriority w:val="99"/>
    <w:rsid w:val="00F36F7E"/>
    <w:rPr>
      <w:rFonts w:ascii="Arial" w:hAnsi="Arial" w:cs="Arial"/>
      <w:sz w:val="22"/>
    </w:rPr>
  </w:style>
  <w:style w:type="character" w:customStyle="1" w:styleId="FooterChar">
    <w:name w:val="Footer Char"/>
    <w:link w:val="Footer"/>
    <w:rsid w:val="00F36F7E"/>
    <w:rPr>
      <w:rFonts w:ascii="Arial" w:hAnsi="Arial" w:cs="Arial"/>
      <w:sz w:val="22"/>
    </w:rPr>
  </w:style>
  <w:style w:type="paragraph" w:styleId="NormalWeb">
    <w:name w:val="Normal (Web)"/>
    <w:basedOn w:val="Normal"/>
    <w:uiPriority w:val="99"/>
    <w:unhideWhenUsed/>
    <w:rsid w:val="00F36F7E"/>
    <w:pPr>
      <w:spacing w:before="100" w:beforeAutospacing="1" w:after="100" w:afterAutospacing="1"/>
      <w:jc w:val="left"/>
    </w:pPr>
    <w:rPr>
      <w:rFonts w:ascii="Verdana" w:hAnsi="Verdana" w:cs="Times New Roman"/>
      <w:color w:val="000000"/>
      <w:sz w:val="17"/>
      <w:szCs w:val="17"/>
    </w:rPr>
  </w:style>
  <w:style w:type="paragraph" w:styleId="BalloonText">
    <w:name w:val="Balloon Text"/>
    <w:basedOn w:val="Normal"/>
    <w:link w:val="BalloonTextChar"/>
    <w:rsid w:val="00F36F7E"/>
    <w:rPr>
      <w:rFonts w:ascii="Tahoma" w:hAnsi="Tahoma" w:cs="Tahoma"/>
      <w:sz w:val="16"/>
      <w:szCs w:val="16"/>
    </w:rPr>
  </w:style>
  <w:style w:type="character" w:customStyle="1" w:styleId="BalloonTextChar">
    <w:name w:val="Balloon Text Char"/>
    <w:basedOn w:val="DefaultParagraphFont"/>
    <w:link w:val="BalloonText"/>
    <w:rsid w:val="00F36F7E"/>
    <w:rPr>
      <w:rFonts w:ascii="Tahoma" w:hAnsi="Tahoma" w:cs="Tahoma"/>
      <w:sz w:val="16"/>
      <w:szCs w:val="16"/>
    </w:rPr>
  </w:style>
  <w:style w:type="character" w:customStyle="1" w:styleId="Heading2Char">
    <w:name w:val="Heading 2 Char"/>
    <w:basedOn w:val="DefaultParagraphFont"/>
    <w:link w:val="Heading2"/>
    <w:rsid w:val="00DB2126"/>
    <w:rPr>
      <w:rFonts w:ascii="Arial" w:hAnsi="Arial" w:cs="Arial"/>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4A3A-7E8E-4669-9737-089F5C9A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866</Words>
  <Characters>4683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wielgopolanja</dc:creator>
  <cp:lastModifiedBy>Kannel, Joseph E</cp:lastModifiedBy>
  <cp:revision>5</cp:revision>
  <cp:lastPrinted>2015-07-09T18:27:00Z</cp:lastPrinted>
  <dcterms:created xsi:type="dcterms:W3CDTF">2021-11-08T18:58:00Z</dcterms:created>
  <dcterms:modified xsi:type="dcterms:W3CDTF">2023-03-27T20:12:00Z</dcterms:modified>
</cp:coreProperties>
</file>