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A590" w14:textId="77777777" w:rsidR="00954FFC" w:rsidRPr="001A0416" w:rsidRDefault="00954FFC" w:rsidP="00EB3E6E">
      <w:r w:rsidRPr="001A0416">
        <w:rPr>
          <w:b/>
          <w:bCs/>
        </w:rPr>
        <w:t>1B</w:t>
      </w:r>
    </w:p>
    <w:p w14:paraId="66C049A5" w14:textId="77777777" w:rsidR="00EB3E6E" w:rsidRPr="001A0416" w:rsidRDefault="00EB3E6E" w:rsidP="00EB3E6E"/>
    <w:p w14:paraId="79D631F4" w14:textId="77777777" w:rsidR="00954FFC" w:rsidRPr="00480088" w:rsidRDefault="00954FFC" w:rsidP="00EB3E6E">
      <w:pPr>
        <w:pStyle w:val="Heading1"/>
        <w:rPr>
          <w:rFonts w:cs="Arial"/>
        </w:rPr>
      </w:pPr>
      <w:r w:rsidRPr="00480088">
        <w:rPr>
          <w:rFonts w:cs="Arial"/>
        </w:rPr>
        <w:t>STATUS OF UTILITIES TO BE ADJUSTED</w:t>
      </w:r>
    </w:p>
    <w:p w14:paraId="294756E0" w14:textId="77777777" w:rsidR="00954FFC" w:rsidRPr="001A0416" w:rsidRDefault="00954FFC" w:rsidP="001A0416">
      <w:pPr>
        <w:rPr>
          <w:bCs/>
        </w:rPr>
      </w:pPr>
      <w:r w:rsidRPr="001A0416">
        <w:rPr>
          <w:bCs/>
        </w:rPr>
        <w:t>(</w:t>
      </w:r>
      <w:r w:rsidR="00EF1429" w:rsidRPr="001A0416">
        <w:rPr>
          <w:bCs/>
        </w:rPr>
        <w:t>Effective</w:t>
      </w:r>
      <w:r w:rsidRPr="001A0416">
        <w:rPr>
          <w:bCs/>
        </w:rPr>
        <w:t xml:space="preserve"> </w:t>
      </w:r>
      <w:r w:rsidR="00BF0EBF" w:rsidRPr="001A0416">
        <w:rPr>
          <w:bCs/>
        </w:rPr>
        <w:t>January 1, 2007</w:t>
      </w:r>
      <w:r w:rsidR="00EF1429" w:rsidRPr="001A0416">
        <w:rPr>
          <w:bCs/>
        </w:rPr>
        <w:t>; Revised January 24, 2011</w:t>
      </w:r>
      <w:r w:rsidRPr="001A0416">
        <w:rPr>
          <w:bCs/>
        </w:rPr>
        <w:t>)</w:t>
      </w:r>
    </w:p>
    <w:p w14:paraId="30DCA552" w14:textId="77777777" w:rsidR="00954FFC" w:rsidRPr="001A0416" w:rsidRDefault="00954FFC" w:rsidP="001A0416">
      <w:pPr>
        <w:rPr>
          <w:bCs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620"/>
        <w:gridCol w:w="2340"/>
        <w:gridCol w:w="2790"/>
      </w:tblGrid>
      <w:tr w:rsidR="00954FFC" w:rsidRPr="001A0416" w14:paraId="21965D93" w14:textId="77777777" w:rsidTr="00D875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68" w:type="dxa"/>
          </w:tcPr>
          <w:p w14:paraId="1BBEFB61" w14:textId="77777777" w:rsidR="00954FFC" w:rsidRPr="001A0416" w:rsidRDefault="00954FFC" w:rsidP="001A0416">
            <w:pPr>
              <w:rPr>
                <w:bCs/>
                <w:u w:val="single"/>
              </w:rPr>
            </w:pPr>
          </w:p>
          <w:p w14:paraId="08BE81BF" w14:textId="77777777" w:rsidR="00954FFC" w:rsidRPr="001A0416" w:rsidRDefault="00954FFC" w:rsidP="001A0416">
            <w:pPr>
              <w:rPr>
                <w:bCs/>
                <w:u w:val="single"/>
              </w:rPr>
            </w:pPr>
            <w:r w:rsidRPr="001A0416">
              <w:rPr>
                <w:bCs/>
                <w:u w:val="single"/>
              </w:rPr>
              <w:t>Name &amp; Address of Utility</w:t>
            </w:r>
          </w:p>
        </w:tc>
        <w:tc>
          <w:tcPr>
            <w:tcW w:w="1620" w:type="dxa"/>
          </w:tcPr>
          <w:p w14:paraId="0F843722" w14:textId="77777777" w:rsidR="00954FFC" w:rsidRPr="001A0416" w:rsidRDefault="00954FFC" w:rsidP="001A0416">
            <w:pPr>
              <w:rPr>
                <w:bCs/>
                <w:u w:val="single"/>
              </w:rPr>
            </w:pPr>
          </w:p>
          <w:p w14:paraId="5E43D669" w14:textId="77777777" w:rsidR="00954FFC" w:rsidRPr="001A0416" w:rsidRDefault="00954FFC" w:rsidP="001A0416">
            <w:pPr>
              <w:rPr>
                <w:bCs/>
                <w:u w:val="single"/>
              </w:rPr>
            </w:pPr>
            <w:r w:rsidRPr="001A0416">
              <w:rPr>
                <w:bCs/>
                <w:u w:val="single"/>
              </w:rPr>
              <w:t>Type</w:t>
            </w:r>
          </w:p>
        </w:tc>
        <w:tc>
          <w:tcPr>
            <w:tcW w:w="2340" w:type="dxa"/>
          </w:tcPr>
          <w:p w14:paraId="6B8569C9" w14:textId="77777777" w:rsidR="00954FFC" w:rsidRPr="001A0416" w:rsidRDefault="00954FFC" w:rsidP="001A0416">
            <w:pPr>
              <w:rPr>
                <w:bCs/>
                <w:u w:val="single"/>
              </w:rPr>
            </w:pPr>
          </w:p>
          <w:p w14:paraId="78383695" w14:textId="77777777" w:rsidR="00954FFC" w:rsidRPr="001A0416" w:rsidRDefault="00954FFC" w:rsidP="001A0416">
            <w:pPr>
              <w:rPr>
                <w:bCs/>
                <w:u w:val="single"/>
              </w:rPr>
            </w:pPr>
            <w:r w:rsidRPr="001A0416">
              <w:rPr>
                <w:bCs/>
                <w:u w:val="single"/>
              </w:rPr>
              <w:t>Location</w:t>
            </w:r>
          </w:p>
        </w:tc>
        <w:tc>
          <w:tcPr>
            <w:tcW w:w="2790" w:type="dxa"/>
          </w:tcPr>
          <w:p w14:paraId="1F92E7FE" w14:textId="77777777" w:rsidR="00954FFC" w:rsidRPr="001A0416" w:rsidRDefault="00954FFC" w:rsidP="001A0416">
            <w:pPr>
              <w:rPr>
                <w:bCs/>
                <w:u w:val="single"/>
              </w:rPr>
            </w:pPr>
            <w:r w:rsidRPr="001A0416">
              <w:rPr>
                <w:bCs/>
                <w:u w:val="single"/>
              </w:rPr>
              <w:t>Estimated Date</w:t>
            </w:r>
          </w:p>
          <w:p w14:paraId="61DACA79" w14:textId="77777777" w:rsidR="00954FFC" w:rsidRPr="001A0416" w:rsidRDefault="00954FFC" w:rsidP="001A0416">
            <w:pPr>
              <w:rPr>
                <w:bCs/>
                <w:u w:val="single"/>
              </w:rPr>
            </w:pPr>
            <w:r w:rsidRPr="001A0416">
              <w:rPr>
                <w:bCs/>
                <w:u w:val="single"/>
              </w:rPr>
              <w:t>Relocation Complete</w:t>
            </w:r>
          </w:p>
        </w:tc>
      </w:tr>
      <w:tr w:rsidR="00954FFC" w:rsidRPr="001A0416" w14:paraId="7975B0B3" w14:textId="77777777" w:rsidTr="00D875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68" w:type="dxa"/>
          </w:tcPr>
          <w:p w14:paraId="20908D2C" w14:textId="77777777" w:rsidR="00A013D0" w:rsidRPr="001A0416" w:rsidRDefault="00A013D0" w:rsidP="001A0416">
            <w:pPr>
              <w:rPr>
                <w:bCs/>
              </w:rPr>
            </w:pPr>
          </w:p>
          <w:p w14:paraId="6484905F" w14:textId="77777777" w:rsidR="00D8751A" w:rsidRPr="001A0416" w:rsidRDefault="00D8751A" w:rsidP="001A0416">
            <w:pPr>
              <w:rPr>
                <w:bCs/>
              </w:rPr>
            </w:pPr>
          </w:p>
        </w:tc>
        <w:tc>
          <w:tcPr>
            <w:tcW w:w="1620" w:type="dxa"/>
          </w:tcPr>
          <w:p w14:paraId="4CA37FFA" w14:textId="77777777" w:rsidR="00A013D0" w:rsidRPr="001A0416" w:rsidRDefault="00A013D0" w:rsidP="001A0416">
            <w:pPr>
              <w:rPr>
                <w:bCs/>
              </w:rPr>
            </w:pPr>
          </w:p>
        </w:tc>
        <w:tc>
          <w:tcPr>
            <w:tcW w:w="2340" w:type="dxa"/>
          </w:tcPr>
          <w:p w14:paraId="37717023" w14:textId="77777777" w:rsidR="00476737" w:rsidRPr="001A0416" w:rsidRDefault="00476737" w:rsidP="001A0416">
            <w:pPr>
              <w:rPr>
                <w:bCs/>
              </w:rPr>
            </w:pPr>
          </w:p>
        </w:tc>
        <w:tc>
          <w:tcPr>
            <w:tcW w:w="2790" w:type="dxa"/>
          </w:tcPr>
          <w:p w14:paraId="15E7D226" w14:textId="77777777" w:rsidR="00476737" w:rsidRPr="001A0416" w:rsidRDefault="00476737" w:rsidP="001A0416">
            <w:pPr>
              <w:rPr>
                <w:bCs/>
              </w:rPr>
            </w:pPr>
          </w:p>
        </w:tc>
      </w:tr>
      <w:tr w:rsidR="00954FFC" w:rsidRPr="001A0416" w14:paraId="404EC095" w14:textId="77777777" w:rsidTr="00D875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68" w:type="dxa"/>
          </w:tcPr>
          <w:p w14:paraId="3308CC5F" w14:textId="77777777" w:rsidR="000C4422" w:rsidRPr="001A0416" w:rsidRDefault="000C4422" w:rsidP="001A0416">
            <w:pPr>
              <w:rPr>
                <w:bCs/>
              </w:rPr>
            </w:pPr>
          </w:p>
          <w:p w14:paraId="73953066" w14:textId="77777777" w:rsidR="00D8751A" w:rsidRPr="001A0416" w:rsidRDefault="00D8751A" w:rsidP="001A0416">
            <w:pPr>
              <w:rPr>
                <w:bCs/>
              </w:rPr>
            </w:pPr>
          </w:p>
        </w:tc>
        <w:tc>
          <w:tcPr>
            <w:tcW w:w="1620" w:type="dxa"/>
          </w:tcPr>
          <w:p w14:paraId="3D6EBBBB" w14:textId="77777777" w:rsidR="00476737" w:rsidRPr="001A0416" w:rsidRDefault="00476737" w:rsidP="001A0416">
            <w:pPr>
              <w:rPr>
                <w:bCs/>
              </w:rPr>
            </w:pPr>
          </w:p>
        </w:tc>
        <w:tc>
          <w:tcPr>
            <w:tcW w:w="2340" w:type="dxa"/>
          </w:tcPr>
          <w:p w14:paraId="5C24C661" w14:textId="77777777" w:rsidR="002F4D20" w:rsidRPr="001A0416" w:rsidRDefault="002F4D20" w:rsidP="001A0416">
            <w:pPr>
              <w:rPr>
                <w:bCs/>
              </w:rPr>
            </w:pPr>
          </w:p>
        </w:tc>
        <w:tc>
          <w:tcPr>
            <w:tcW w:w="2790" w:type="dxa"/>
          </w:tcPr>
          <w:p w14:paraId="09DB6217" w14:textId="77777777" w:rsidR="00476737" w:rsidRPr="001A0416" w:rsidRDefault="00476737" w:rsidP="001A0416">
            <w:pPr>
              <w:rPr>
                <w:bCs/>
              </w:rPr>
            </w:pPr>
          </w:p>
        </w:tc>
      </w:tr>
    </w:tbl>
    <w:p w14:paraId="283EDEC2" w14:textId="77777777" w:rsidR="00954FFC" w:rsidRPr="001A0416" w:rsidRDefault="00954FFC" w:rsidP="001A0416">
      <w:pPr>
        <w:rPr>
          <w:bCs/>
        </w:rPr>
      </w:pPr>
    </w:p>
    <w:p w14:paraId="0EF48F06" w14:textId="77777777" w:rsidR="00954FFC" w:rsidRPr="001A0416" w:rsidRDefault="00954FFC" w:rsidP="001A0416">
      <w:pPr>
        <w:rPr>
          <w:bCs/>
        </w:rPr>
      </w:pPr>
      <w:r w:rsidRPr="001A0416">
        <w:rPr>
          <w:bCs/>
        </w:rPr>
        <w:t xml:space="preserve">The above represents the best information of the Department and is only included for the convenience of the bidder. </w:t>
      </w:r>
      <w:r w:rsidR="00D8751A" w:rsidRPr="001A0416">
        <w:rPr>
          <w:bCs/>
        </w:rPr>
        <w:t xml:space="preserve"> </w:t>
      </w:r>
      <w:r w:rsidRPr="001A0416">
        <w:rPr>
          <w:bCs/>
        </w:rPr>
        <w:t>The applicable provisions of Section 102 and</w:t>
      </w:r>
      <w:r w:rsidR="00EF1429" w:rsidRPr="001A0416">
        <w:rPr>
          <w:bCs/>
        </w:rPr>
        <w:t xml:space="preserve"> Articles 105.07, 107.20, 107.37, 107.38, 107.39, 107.40,</w:t>
      </w:r>
      <w:r w:rsidRPr="001A0416">
        <w:rPr>
          <w:bCs/>
        </w:rPr>
        <w:t xml:space="preserve"> and 108.02 of the Standard Specifications for Road and Bridge Construction shall apply.</w:t>
      </w:r>
    </w:p>
    <w:p w14:paraId="571F84C9" w14:textId="77777777" w:rsidR="00954FFC" w:rsidRPr="001A0416" w:rsidRDefault="00954FFC" w:rsidP="001A0416">
      <w:pPr>
        <w:rPr>
          <w:bCs/>
        </w:rPr>
      </w:pPr>
    </w:p>
    <w:p w14:paraId="6F360848" w14:textId="77777777" w:rsidR="006D3212" w:rsidRPr="001A0416" w:rsidRDefault="00954FFC" w:rsidP="001A0416">
      <w:pPr>
        <w:rPr>
          <w:bCs/>
        </w:rPr>
      </w:pPr>
      <w:r w:rsidRPr="001A0416">
        <w:rPr>
          <w:bCs/>
        </w:rPr>
        <w:t>The estimated utility relocation dates should be part of the progress schedule submitted by the Contractor.</w:t>
      </w:r>
    </w:p>
    <w:p w14:paraId="06E89644" w14:textId="77777777" w:rsidR="006D3212" w:rsidRPr="001A0416" w:rsidRDefault="006D3212" w:rsidP="001A0416">
      <w:pPr>
        <w:rPr>
          <w:bCs/>
        </w:rPr>
      </w:pPr>
    </w:p>
    <w:p w14:paraId="23D95598" w14:textId="77777777" w:rsidR="00480088" w:rsidRPr="001A0416" w:rsidRDefault="00480088" w:rsidP="001A0416">
      <w:pPr>
        <w:rPr>
          <w:bCs/>
        </w:rPr>
      </w:pPr>
    </w:p>
    <w:p w14:paraId="63B5661C" w14:textId="77777777" w:rsidR="00623708" w:rsidRPr="001A0416" w:rsidRDefault="00623708" w:rsidP="001A0416">
      <w:pPr>
        <w:rPr>
          <w:bCs/>
        </w:rPr>
      </w:pPr>
    </w:p>
    <w:p w14:paraId="411B1B5C" w14:textId="77777777" w:rsidR="00623708" w:rsidRPr="001A0416" w:rsidRDefault="00623708" w:rsidP="001A0416">
      <w:pPr>
        <w:rPr>
          <w:bCs/>
        </w:rPr>
      </w:pPr>
    </w:p>
    <w:p w14:paraId="47F5746F" w14:textId="77777777" w:rsidR="00954FFC" w:rsidRPr="001A0416" w:rsidRDefault="00954FFC" w:rsidP="001A0416">
      <w:pPr>
        <w:rPr>
          <w:bCs/>
        </w:rPr>
      </w:pPr>
      <w:r w:rsidRPr="001A0416">
        <w:rPr>
          <w:bCs/>
        </w:rPr>
        <w:t xml:space="preserve">Designer </w:t>
      </w:r>
      <w:r w:rsidR="006D3212" w:rsidRPr="001A0416">
        <w:rPr>
          <w:bCs/>
        </w:rPr>
        <w:t>Note</w:t>
      </w:r>
      <w:r w:rsidRPr="001A0416">
        <w:rPr>
          <w:bCs/>
        </w:rPr>
        <w:t xml:space="preserve">:  Consult Project Support Engineer to </w:t>
      </w:r>
      <w:r w:rsidR="004C6213" w:rsidRPr="001A0416">
        <w:rPr>
          <w:bCs/>
        </w:rPr>
        <w:t>verify</w:t>
      </w:r>
      <w:r w:rsidRPr="001A0416">
        <w:rPr>
          <w:bCs/>
        </w:rPr>
        <w:t xml:space="preserve"> status of adjustments prior to submitting PS&amp;E.</w:t>
      </w:r>
    </w:p>
    <w:sectPr w:rsidR="00954FFC" w:rsidRPr="001A0416" w:rsidSect="00D8751A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631"/>
    <w:rsid w:val="000C4422"/>
    <w:rsid w:val="000D02F4"/>
    <w:rsid w:val="001A0416"/>
    <w:rsid w:val="0026208C"/>
    <w:rsid w:val="002F4D20"/>
    <w:rsid w:val="003E4631"/>
    <w:rsid w:val="00476737"/>
    <w:rsid w:val="00480088"/>
    <w:rsid w:val="0049456A"/>
    <w:rsid w:val="004C6213"/>
    <w:rsid w:val="004F2794"/>
    <w:rsid w:val="00623708"/>
    <w:rsid w:val="006D3212"/>
    <w:rsid w:val="00750359"/>
    <w:rsid w:val="00954FFC"/>
    <w:rsid w:val="009A3BC5"/>
    <w:rsid w:val="00A013D0"/>
    <w:rsid w:val="00AA025D"/>
    <w:rsid w:val="00AB4DE1"/>
    <w:rsid w:val="00B953B5"/>
    <w:rsid w:val="00BF0EBF"/>
    <w:rsid w:val="00D8751A"/>
    <w:rsid w:val="00E90007"/>
    <w:rsid w:val="00EB3E6E"/>
    <w:rsid w:val="00EF1429"/>
    <w:rsid w:val="00F5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7DDB950"/>
  <w15:chartTrackingRefBased/>
  <w15:docId w15:val="{49609139-EB93-49BA-A106-91E4646E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0416"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1A0416"/>
    <w:pPr>
      <w:keepNext/>
      <w:outlineLvl w:val="0"/>
    </w:pPr>
    <w:rPr>
      <w:b/>
      <w:caps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E463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2794"/>
    <w:rPr>
      <w:sz w:val="16"/>
      <w:szCs w:val="16"/>
    </w:rPr>
  </w:style>
  <w:style w:type="paragraph" w:styleId="CommentText">
    <w:name w:val="annotation text"/>
    <w:basedOn w:val="Normal"/>
    <w:semiHidden/>
    <w:rsid w:val="004F2794"/>
  </w:style>
  <w:style w:type="paragraph" w:styleId="CommentSubject">
    <w:name w:val="annotation subject"/>
    <w:basedOn w:val="CommentText"/>
    <w:next w:val="CommentText"/>
    <w:semiHidden/>
    <w:rsid w:val="004F2794"/>
    <w:rPr>
      <w:b/>
      <w:bCs/>
    </w:rPr>
  </w:style>
  <w:style w:type="character" w:customStyle="1" w:styleId="Heading1Char">
    <w:name w:val="Heading 1 Char"/>
    <w:link w:val="Heading1"/>
    <w:rsid w:val="001A0416"/>
    <w:rPr>
      <w:rFonts w:ascii="Arial" w:hAnsi="Arial"/>
      <w:b/>
      <w:caps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OF UTILITIES TO BE ADJUSTED:</vt:lpstr>
    </vt:vector>
  </TitlesOfParts>
  <Company>IDOT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UTILITIES TO BE ADJUSTED:</dc:title>
  <dc:subject/>
  <dc:creator>THUMMCS</dc:creator>
  <cp:keywords/>
  <cp:lastModifiedBy>Kannel, Joseph E</cp:lastModifiedBy>
  <cp:revision>2</cp:revision>
  <cp:lastPrinted>2011-01-24T19:36:00Z</cp:lastPrinted>
  <dcterms:created xsi:type="dcterms:W3CDTF">2023-03-03T21:21:00Z</dcterms:created>
  <dcterms:modified xsi:type="dcterms:W3CDTF">2023-03-03T21:21:00Z</dcterms:modified>
</cp:coreProperties>
</file>